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A2" w:rsidRPr="00B344A2" w:rsidRDefault="00B344A2" w:rsidP="00406D9F">
      <w:pPr>
        <w:autoSpaceDE w:val="0"/>
        <w:autoSpaceDN w:val="0"/>
        <w:adjustRightInd w:val="0"/>
        <w:spacing w:after="0"/>
        <w:ind w:right="1135"/>
        <w:rPr>
          <w:rFonts w:ascii="Times-BoldItalic" w:hAnsi="Times-BoldItalic" w:cs="Times-BoldItalic"/>
          <w:b/>
          <w:bCs/>
          <w:i/>
          <w:iCs/>
          <w:color w:val="000000"/>
          <w:sz w:val="24"/>
        </w:rPr>
      </w:pPr>
    </w:p>
    <w:p w:rsidR="00FC3A4D" w:rsidRPr="00240C82" w:rsidRDefault="00FC3A4D" w:rsidP="00FC3A4D">
      <w:pPr>
        <w:jc w:val="center"/>
        <w:rPr>
          <w:rFonts w:ascii="Calibri Light" w:hAnsi="Calibri Light"/>
        </w:rPr>
      </w:pPr>
      <w:r w:rsidRPr="00240C82">
        <w:rPr>
          <w:rFonts w:ascii="Calibri Light" w:hAnsi="Calibri Light"/>
          <w:noProof/>
        </w:rPr>
        <w:drawing>
          <wp:inline distT="0" distB="0" distL="0" distR="0">
            <wp:extent cx="6120765" cy="13258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LOGHI POR PUGL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4D" w:rsidRPr="00240C82" w:rsidRDefault="00FC3A4D" w:rsidP="00FC3A4D">
      <w:pPr>
        <w:jc w:val="center"/>
        <w:rPr>
          <w:rFonts w:ascii="Calibri Light" w:hAnsi="Calibri Light"/>
        </w:rPr>
      </w:pPr>
    </w:p>
    <w:p w:rsidR="00FC3A4D" w:rsidRPr="00240C82" w:rsidRDefault="00FC3A4D" w:rsidP="00FC3A4D">
      <w:pPr>
        <w:jc w:val="center"/>
        <w:rPr>
          <w:rFonts w:ascii="Calibri Light" w:hAnsi="Calibri Light"/>
        </w:rPr>
      </w:pPr>
    </w:p>
    <w:p w:rsidR="00FC3A4D" w:rsidRDefault="00FC3A4D" w:rsidP="00FC3A4D">
      <w:pPr>
        <w:jc w:val="center"/>
        <w:rPr>
          <w:rFonts w:ascii="Calibri Light" w:hAnsi="Calibri Light"/>
        </w:rPr>
      </w:pPr>
    </w:p>
    <w:p w:rsidR="00FC3A4D" w:rsidRPr="008A7986" w:rsidRDefault="008A7986" w:rsidP="00FC3A4D">
      <w:pPr>
        <w:jc w:val="center"/>
        <w:rPr>
          <w:rFonts w:ascii="Calibri Light" w:hAnsi="Calibri Light"/>
          <w:sz w:val="32"/>
          <w:szCs w:val="32"/>
        </w:rPr>
      </w:pPr>
      <w:r w:rsidRPr="008A7986">
        <w:rPr>
          <w:rFonts w:ascii="Calibri Light" w:hAnsi="Calibri Light"/>
          <w:sz w:val="32"/>
          <w:szCs w:val="32"/>
        </w:rPr>
        <w:t>ALLEGATO B</w:t>
      </w:r>
    </w:p>
    <w:p w:rsidR="00FC3A4D" w:rsidRPr="008A7986" w:rsidRDefault="00FC3A4D" w:rsidP="00FC3A4D">
      <w:pPr>
        <w:jc w:val="center"/>
        <w:rPr>
          <w:rFonts w:ascii="Calibri Light" w:hAnsi="Calibri Light"/>
          <w:sz w:val="32"/>
          <w:szCs w:val="32"/>
        </w:rPr>
      </w:pPr>
    </w:p>
    <w:p w:rsidR="00FC3A4D" w:rsidRPr="00240C82" w:rsidRDefault="00FC3A4D" w:rsidP="00FC3A4D">
      <w:pPr>
        <w:jc w:val="center"/>
        <w:rPr>
          <w:rFonts w:ascii="Calibri Light" w:hAnsi="Calibri Light"/>
          <w:b/>
          <w:i/>
          <w:color w:val="365F91" w:themeColor="accent1" w:themeShade="BF"/>
          <w:sz w:val="40"/>
        </w:rPr>
      </w:pPr>
      <w:r w:rsidRPr="00240C82">
        <w:rPr>
          <w:rFonts w:ascii="Calibri Light" w:hAnsi="Calibri Light"/>
          <w:b/>
          <w:i/>
          <w:color w:val="365F91" w:themeColor="accent1" w:themeShade="BF"/>
          <w:sz w:val="40"/>
        </w:rPr>
        <w:t>POR PUGLIA 2014-2020</w:t>
      </w:r>
    </w:p>
    <w:p w:rsidR="00FC3A4D" w:rsidRPr="00240C82" w:rsidRDefault="00FC3A4D" w:rsidP="00FC3A4D">
      <w:pPr>
        <w:jc w:val="center"/>
        <w:rPr>
          <w:rFonts w:ascii="Calibri Light" w:hAnsi="Calibri Light"/>
        </w:rPr>
      </w:pPr>
    </w:p>
    <w:p w:rsidR="00FC3A4D" w:rsidRPr="00240C82" w:rsidRDefault="00FC3A4D" w:rsidP="00FC3A4D">
      <w:pPr>
        <w:jc w:val="center"/>
        <w:rPr>
          <w:rFonts w:ascii="Calibri Light" w:hAnsi="Calibri Light" w:cs="Arial"/>
          <w:sz w:val="24"/>
        </w:rPr>
      </w:pPr>
      <w:r w:rsidRPr="00240C82">
        <w:rPr>
          <w:rFonts w:ascii="Calibri Light" w:hAnsi="Calibri Light" w:cs="Arial"/>
          <w:sz w:val="24"/>
        </w:rPr>
        <w:t>Asse</w:t>
      </w:r>
      <w:r>
        <w:rPr>
          <w:rFonts w:ascii="Calibri Light" w:hAnsi="Calibri Light" w:cs="Arial"/>
          <w:sz w:val="24"/>
        </w:rPr>
        <w:t xml:space="preserve"> VI</w:t>
      </w:r>
      <w:r w:rsidRPr="00240C82">
        <w:rPr>
          <w:rFonts w:ascii="Calibri Light" w:hAnsi="Calibri Light" w:cs="Arial"/>
          <w:sz w:val="24"/>
        </w:rPr>
        <w:t xml:space="preserve"> “</w:t>
      </w:r>
      <w:r w:rsidR="00477FD7" w:rsidRPr="00477FD7">
        <w:rPr>
          <w:rFonts w:ascii="Calibri Light" w:hAnsi="Calibri Light" w:cs="Arial"/>
          <w:sz w:val="24"/>
        </w:rPr>
        <w:t>Tutela dell’ambiente e promozione delle risorse naturali e culturali</w:t>
      </w:r>
      <w:r w:rsidRPr="00240C82">
        <w:rPr>
          <w:rFonts w:ascii="Calibri Light" w:hAnsi="Calibri Light" w:cs="Arial"/>
          <w:sz w:val="24"/>
        </w:rPr>
        <w:t>”</w:t>
      </w:r>
    </w:p>
    <w:p w:rsidR="00FC3A4D" w:rsidRPr="00240C82" w:rsidRDefault="00FC3A4D" w:rsidP="00FC3A4D">
      <w:pPr>
        <w:spacing w:after="0"/>
        <w:jc w:val="center"/>
        <w:rPr>
          <w:rFonts w:ascii="Calibri Light" w:hAnsi="Calibri Light" w:cs="Arial"/>
          <w:sz w:val="24"/>
        </w:rPr>
      </w:pPr>
      <w:r w:rsidRPr="00240C82">
        <w:rPr>
          <w:rFonts w:ascii="Calibri Light" w:hAnsi="Calibri Light" w:cs="Arial"/>
          <w:sz w:val="24"/>
        </w:rPr>
        <w:t xml:space="preserve">Azione </w:t>
      </w:r>
      <w:r>
        <w:rPr>
          <w:rFonts w:ascii="Calibri Light" w:hAnsi="Calibri Light" w:cs="Arial"/>
          <w:sz w:val="24"/>
        </w:rPr>
        <w:t>6</w:t>
      </w:r>
      <w:r w:rsidRPr="00240C82">
        <w:rPr>
          <w:rFonts w:ascii="Calibri Light" w:hAnsi="Calibri Light" w:cs="Arial"/>
          <w:sz w:val="24"/>
        </w:rPr>
        <w:t>.</w:t>
      </w:r>
      <w:r>
        <w:rPr>
          <w:rFonts w:ascii="Calibri Light" w:hAnsi="Calibri Light" w:cs="Arial"/>
          <w:sz w:val="24"/>
        </w:rPr>
        <w:t>7</w:t>
      </w:r>
      <w:r w:rsidRPr="00240C82">
        <w:rPr>
          <w:rFonts w:ascii="Calibri Light" w:hAnsi="Calibri Light" w:cs="Arial"/>
          <w:sz w:val="24"/>
        </w:rPr>
        <w:t xml:space="preserve"> “</w:t>
      </w:r>
      <w:r w:rsidR="00477FD7" w:rsidRPr="00477FD7">
        <w:rPr>
          <w:rFonts w:ascii="Calibri Light" w:hAnsi="Calibri Light" w:cs="Arial"/>
          <w:sz w:val="24"/>
        </w:rPr>
        <w:t>Interventi per la valorizzazione e la fruizione del patrimonio culturale</w:t>
      </w:r>
      <w:r w:rsidR="00477FD7">
        <w:t>”</w:t>
      </w:r>
    </w:p>
    <w:p w:rsidR="00FC3A4D" w:rsidRPr="00240C82" w:rsidRDefault="00FC3A4D" w:rsidP="00FC3A4D">
      <w:pPr>
        <w:jc w:val="center"/>
        <w:rPr>
          <w:rFonts w:ascii="Calibri Light" w:hAnsi="Calibri Light"/>
        </w:rPr>
      </w:pPr>
    </w:p>
    <w:p w:rsidR="00FC3A4D" w:rsidRDefault="00FC3A4D" w:rsidP="00FC3A4D">
      <w:pPr>
        <w:jc w:val="center"/>
        <w:rPr>
          <w:rFonts w:ascii="Calibri Light" w:hAnsi="Calibri Light"/>
        </w:rPr>
      </w:pPr>
    </w:p>
    <w:p w:rsidR="00FC3A4D" w:rsidRPr="00240C82" w:rsidRDefault="00FC3A4D" w:rsidP="00FC3A4D">
      <w:pPr>
        <w:jc w:val="center"/>
        <w:rPr>
          <w:rFonts w:ascii="Calibri Light" w:hAnsi="Calibri Light"/>
        </w:rPr>
      </w:pPr>
    </w:p>
    <w:p w:rsidR="00FC3A4D" w:rsidRDefault="00FC3A4D" w:rsidP="00FC3A4D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DISCIPLINARE REGOLANTE I RAPPORTI TRA </w:t>
      </w:r>
    </w:p>
    <w:p w:rsidR="00FC3A4D" w:rsidRDefault="00FC3A4D" w:rsidP="00FC3A4D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>Regione Puglia</w:t>
      </w:r>
    </w:p>
    <w:p w:rsidR="00FC3A4D" w:rsidRDefault="00FC3A4D" w:rsidP="00FC3A4D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e </w:t>
      </w:r>
    </w:p>
    <w:p w:rsidR="00FC3A4D" w:rsidRDefault="008A7986" w:rsidP="00FC3A4D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Ente </w:t>
      </w:r>
      <w:r w:rsidR="009515E7">
        <w:rPr>
          <w:rFonts w:ascii="Calibri Light" w:hAnsi="Calibri Light"/>
        </w:rPr>
        <w:t>-----------------------</w:t>
      </w:r>
    </w:p>
    <w:p w:rsidR="00FC3A4D" w:rsidRDefault="00FC3A4D" w:rsidP="00FC3A4D">
      <w:pPr>
        <w:jc w:val="center"/>
        <w:rPr>
          <w:rFonts w:ascii="Calibri Light" w:hAnsi="Calibri Light"/>
        </w:rPr>
      </w:pPr>
    </w:p>
    <w:p w:rsidR="00FC3A4D" w:rsidRDefault="00FC3A4D" w:rsidP="00FC3A4D">
      <w:pPr>
        <w:jc w:val="center"/>
        <w:rPr>
          <w:rFonts w:ascii="Calibri Light" w:hAnsi="Calibri Light"/>
        </w:rPr>
      </w:pPr>
    </w:p>
    <w:p w:rsidR="00FC3A4D" w:rsidRDefault="00FC3A4D" w:rsidP="00FC3A4D">
      <w:pPr>
        <w:jc w:val="center"/>
        <w:rPr>
          <w:rFonts w:ascii="Calibri Light" w:hAnsi="Calibri Light"/>
        </w:rPr>
      </w:pPr>
    </w:p>
    <w:p w:rsidR="00FC3A4D" w:rsidRDefault="00FC3A4D" w:rsidP="00FC3A4D">
      <w:pPr>
        <w:jc w:val="center"/>
        <w:rPr>
          <w:rFonts w:ascii="Calibri Light" w:hAnsi="Calibri Light"/>
        </w:rPr>
      </w:pPr>
    </w:p>
    <w:p w:rsidR="008A7986" w:rsidRDefault="008A7986" w:rsidP="008A7986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per la realizzazione di </w:t>
      </w:r>
    </w:p>
    <w:p w:rsidR="008A7986" w:rsidRPr="00CA16F1" w:rsidRDefault="008A7986" w:rsidP="008A7986">
      <w:pPr>
        <w:jc w:val="center"/>
        <w:rPr>
          <w:rFonts w:ascii="Calibri Light" w:hAnsi="Calibri Light"/>
          <w:b/>
          <w:bCs/>
          <w:i/>
          <w:sz w:val="24"/>
        </w:rPr>
      </w:pPr>
      <w:r w:rsidRPr="00CA16F1">
        <w:rPr>
          <w:rFonts w:ascii="Calibri Light" w:hAnsi="Calibri Light"/>
          <w:b/>
          <w:bCs/>
          <w:i/>
          <w:sz w:val="24"/>
        </w:rPr>
        <w:t>DI INTERVENTI DI POTEN</w:t>
      </w:r>
      <w:r w:rsidRPr="00CA16F1">
        <w:rPr>
          <w:rFonts w:ascii="Calibri Light" w:hAnsi="Calibri Light"/>
          <w:b/>
          <w:bCs/>
          <w:i/>
          <w:iCs/>
          <w:caps/>
          <w:sz w:val="24"/>
        </w:rPr>
        <w:t>z</w:t>
      </w:r>
      <w:r w:rsidRPr="00CA16F1">
        <w:rPr>
          <w:rFonts w:ascii="Calibri Light" w:hAnsi="Calibri Light"/>
          <w:b/>
          <w:bCs/>
          <w:i/>
          <w:sz w:val="24"/>
        </w:rPr>
        <w:t>IAMENTO DELL’OFFERTA DEI BENI DEL PATRIMONIO CULTURALE ATTRAVERSO LA REALI</w:t>
      </w:r>
      <w:r w:rsidRPr="00CA16F1">
        <w:rPr>
          <w:rFonts w:ascii="Calibri Light" w:hAnsi="Calibri Light"/>
          <w:b/>
          <w:bCs/>
          <w:i/>
          <w:iCs/>
          <w:caps/>
          <w:sz w:val="24"/>
        </w:rPr>
        <w:t>zzAzIONE DI OPERE E SERVIzI DI STREET ART</w:t>
      </w:r>
    </w:p>
    <w:p w:rsidR="00FC3A4D" w:rsidRDefault="00FC3A4D" w:rsidP="008D29CE">
      <w:pPr>
        <w:autoSpaceDE w:val="0"/>
        <w:autoSpaceDN w:val="0"/>
        <w:adjustRightInd w:val="0"/>
        <w:spacing w:after="0"/>
        <w:ind w:left="993" w:right="1135"/>
        <w:jc w:val="center"/>
        <w:rPr>
          <w:rFonts w:ascii="Calibri Light" w:hAnsi="Calibri Light" w:cs="Times-Bold"/>
          <w:b/>
          <w:bCs/>
          <w:color w:val="2C5BAF"/>
          <w:sz w:val="24"/>
        </w:rPr>
      </w:pPr>
    </w:p>
    <w:p w:rsidR="00965B95" w:rsidRDefault="00965B95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FC3A4D" w:rsidRDefault="00FC3A4D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FC3A4D" w:rsidRDefault="00FC3A4D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FC3A4D" w:rsidRDefault="00FC3A4D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FC3A4D" w:rsidRDefault="00FC3A4D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FC3A4D" w:rsidRDefault="00FC3A4D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FC3A4D" w:rsidRDefault="00FC3A4D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FC3A4D" w:rsidRDefault="00FC3A4D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566D06" w:rsidRDefault="00566D06" w:rsidP="00566D06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  <w:r>
        <w:rPr>
          <w:rFonts w:ascii="Calibri Light" w:hAnsi="Calibri Light"/>
        </w:rPr>
        <w:t>CUP Intervento _________________</w:t>
      </w:r>
    </w:p>
    <w:p w:rsidR="00FC3A4D" w:rsidRDefault="00FC3A4D" w:rsidP="00566D06">
      <w:pPr>
        <w:autoSpaceDE w:val="0"/>
        <w:autoSpaceDN w:val="0"/>
        <w:adjustRightInd w:val="0"/>
        <w:spacing w:after="0"/>
        <w:ind w:right="1135"/>
        <w:rPr>
          <w:rFonts w:ascii="Times-Bold" w:hAnsi="Times-Bold" w:cs="Times-Bold"/>
          <w:b/>
          <w:bCs/>
          <w:color w:val="2C5BAF"/>
          <w:sz w:val="24"/>
        </w:rPr>
      </w:pPr>
    </w:p>
    <w:p w:rsidR="00FC3A4D" w:rsidRDefault="00FC3A4D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8A7986" w:rsidRDefault="008A7986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8A7986" w:rsidRDefault="008A7986" w:rsidP="00406D9F">
      <w:pPr>
        <w:autoSpaceDE w:val="0"/>
        <w:autoSpaceDN w:val="0"/>
        <w:adjustRightInd w:val="0"/>
        <w:spacing w:after="0"/>
        <w:ind w:right="1135"/>
        <w:jc w:val="center"/>
        <w:rPr>
          <w:rFonts w:ascii="Times-Bold" w:hAnsi="Times-Bold" w:cs="Times-Bold"/>
          <w:b/>
          <w:bCs/>
          <w:color w:val="2C5BAF"/>
          <w:sz w:val="24"/>
        </w:rPr>
      </w:pPr>
    </w:p>
    <w:p w:rsidR="00E348A8" w:rsidRPr="009F5A3F" w:rsidRDefault="00E348A8" w:rsidP="00FC3A4D">
      <w:pPr>
        <w:pStyle w:val="Normale2"/>
        <w:ind w:left="0" w:right="140"/>
        <w:jc w:val="center"/>
        <w:rPr>
          <w:b/>
        </w:rPr>
      </w:pPr>
      <w:r w:rsidRPr="009F5A3F">
        <w:rPr>
          <w:b/>
        </w:rPr>
        <w:t xml:space="preserve">Art. 1 – Oggetto del </w:t>
      </w:r>
      <w:r w:rsidR="00020C5E">
        <w:rPr>
          <w:b/>
        </w:rPr>
        <w:t>Disciplinare</w:t>
      </w:r>
    </w:p>
    <w:p w:rsidR="00E348A8" w:rsidRDefault="00E348A8" w:rsidP="00E348A8">
      <w:pPr>
        <w:pStyle w:val="Normale2"/>
        <w:ind w:right="1135"/>
      </w:pPr>
    </w:p>
    <w:p w:rsidR="00E348A8" w:rsidRDefault="00E348A8" w:rsidP="00DF7236">
      <w:pPr>
        <w:pStyle w:val="Normale2"/>
        <w:numPr>
          <w:ilvl w:val="0"/>
          <w:numId w:val="20"/>
        </w:numPr>
        <w:ind w:right="1135"/>
      </w:pPr>
      <w:r>
        <w:t>I rapporti tra la Regione Puglia e</w:t>
      </w:r>
      <w:r w:rsidR="00DF7236">
        <w:t xml:space="preserve">d il Comune di </w:t>
      </w:r>
      <w:r w:rsidR="009515E7">
        <w:t>----------------------------</w:t>
      </w:r>
      <w:r>
        <w:t xml:space="preserve">, Soggetto beneficiario del contributo finanziario a valere sul P.O.R. Puglia 2014 – 2020 (di seguito Programma), Asse </w:t>
      </w:r>
      <w:r w:rsidR="00477FD7">
        <w:t xml:space="preserve">VI </w:t>
      </w:r>
      <w:r>
        <w:t>- “</w:t>
      </w:r>
      <w:r w:rsidR="00477FD7">
        <w:t>Tutela dell’ambiente e promozione delle risorse naturali e culturali</w:t>
      </w:r>
      <w:r>
        <w:t xml:space="preserve">” - Azione </w:t>
      </w:r>
      <w:r w:rsidR="00477FD7">
        <w:t>6</w:t>
      </w:r>
      <w:r>
        <w:t>.</w:t>
      </w:r>
      <w:r w:rsidR="00477FD7">
        <w:t>7</w:t>
      </w:r>
      <w:r>
        <w:t xml:space="preserve"> “</w:t>
      </w:r>
      <w:r w:rsidR="00477FD7">
        <w:t>Interventi per la valorizzazione e la fruizione del patrimonio culturale</w:t>
      </w:r>
      <w:r>
        <w:t xml:space="preserve">” - per l’importo di € </w:t>
      </w:r>
      <w:r w:rsidR="009515E7">
        <w:t>--------------</w:t>
      </w:r>
      <w:r w:rsidR="00965B95">
        <w:t>, per la realizzazione del seguente</w:t>
      </w:r>
      <w:r>
        <w:t xml:space="preserve"> intervent</w:t>
      </w:r>
      <w:r w:rsidR="00965B95">
        <w:t>o</w:t>
      </w:r>
      <w:r>
        <w:t xml:space="preserve">  </w:t>
      </w:r>
      <w:r w:rsidR="00DF7236" w:rsidRPr="00DF7236">
        <w:rPr>
          <w:i/>
        </w:rPr>
        <w:t>“</w:t>
      </w:r>
      <w:r w:rsidR="009515E7">
        <w:rPr>
          <w:i/>
        </w:rPr>
        <w:t>----------------------</w:t>
      </w:r>
      <w:r w:rsidRPr="00DF7236">
        <w:rPr>
          <w:i/>
        </w:rPr>
        <w:t>”</w:t>
      </w:r>
      <w:r>
        <w:t xml:space="preserve"> - sono regolamentati secondo quanto riportato nei successivi articoli.</w:t>
      </w:r>
    </w:p>
    <w:p w:rsidR="00E348A8" w:rsidRDefault="00E348A8" w:rsidP="00020C5E">
      <w:pPr>
        <w:pStyle w:val="Normale2"/>
        <w:ind w:right="1135"/>
      </w:pPr>
    </w:p>
    <w:p w:rsidR="00E348A8" w:rsidRPr="009F5A3F" w:rsidRDefault="00E348A8" w:rsidP="00020C5E">
      <w:pPr>
        <w:pStyle w:val="Normale2"/>
        <w:ind w:left="0" w:right="1135"/>
        <w:jc w:val="center"/>
        <w:rPr>
          <w:b/>
        </w:rPr>
      </w:pPr>
      <w:r w:rsidRPr="009F5A3F">
        <w:rPr>
          <w:b/>
        </w:rPr>
        <w:t>Art. 2 – Primi adempimenti del Soggetto beneficiario</w:t>
      </w:r>
    </w:p>
    <w:p w:rsidR="00E348A8" w:rsidRDefault="00E348A8" w:rsidP="00E348A8">
      <w:pPr>
        <w:pStyle w:val="Normale2"/>
        <w:ind w:right="1135"/>
      </w:pPr>
    </w:p>
    <w:p w:rsidR="000955A4" w:rsidRPr="002C0E62" w:rsidRDefault="000955A4" w:rsidP="000955A4">
      <w:pPr>
        <w:pStyle w:val="Normale2"/>
        <w:numPr>
          <w:ilvl w:val="0"/>
          <w:numId w:val="28"/>
        </w:numPr>
        <w:ind w:right="1135"/>
      </w:pPr>
      <w:r w:rsidRPr="002C0E62">
        <w:t xml:space="preserve">Il presente Disciplinare, parte integrante e sostanziale della Determinazione di concessione del contributo viene sottoscritto per accettazione da parte del Legale Rappresentante del Soggetto beneficiario e dal Responsabile Unico del Procedimento (di seguito R.U.P.) formalmente nominato dal medesimo Soggetto beneficiario. </w:t>
      </w:r>
    </w:p>
    <w:p w:rsidR="00B06C7D" w:rsidRPr="003A4375" w:rsidRDefault="001C356E" w:rsidP="000955A4">
      <w:pPr>
        <w:pStyle w:val="Normale2"/>
        <w:numPr>
          <w:ilvl w:val="0"/>
          <w:numId w:val="28"/>
        </w:numPr>
        <w:ind w:right="1135"/>
      </w:pPr>
      <w:r w:rsidRPr="003A4375">
        <w:t>Il Soggetto beneficiario si impegna ad iscrivere l’intervento oggetto del presente finanziamento al sistema CUP (Codice Unico di Progetto)</w:t>
      </w:r>
      <w:r w:rsidR="00B06C7D" w:rsidRPr="003A4375">
        <w:t>;</w:t>
      </w:r>
      <w:r w:rsidRPr="003A4375">
        <w:t xml:space="preserve"> </w:t>
      </w:r>
    </w:p>
    <w:p w:rsidR="004579E2" w:rsidRPr="003A4375" w:rsidRDefault="004579E2" w:rsidP="000955A4">
      <w:pPr>
        <w:pStyle w:val="Normale2"/>
        <w:numPr>
          <w:ilvl w:val="0"/>
          <w:numId w:val="28"/>
        </w:numPr>
        <w:ind w:right="1135"/>
      </w:pPr>
      <w:r w:rsidRPr="003A4375">
        <w:t xml:space="preserve">In sede di sottoscrizione del presente Disciplinare </w:t>
      </w:r>
      <w:r w:rsidR="00B06C7D" w:rsidRPr="003A4375">
        <w:t>il Soggetto beneficiario si impegna a fornire la seguente documentazione:</w:t>
      </w:r>
    </w:p>
    <w:p w:rsidR="00B06C7D" w:rsidRPr="003A4375" w:rsidRDefault="00B06C7D" w:rsidP="00B06C7D">
      <w:pPr>
        <w:pStyle w:val="Normale2"/>
        <w:numPr>
          <w:ilvl w:val="1"/>
          <w:numId w:val="28"/>
        </w:numPr>
        <w:ind w:right="1135"/>
      </w:pPr>
      <w:r w:rsidRPr="003A4375">
        <w:t>provvedimento di nomina del R.U.P. in caso di successiva variazione alla struttura regionale di gestione dell’Azione 6.7 (di seguito Regione);</w:t>
      </w:r>
    </w:p>
    <w:p w:rsidR="00B06C7D" w:rsidRPr="003A4375" w:rsidRDefault="00B06C7D" w:rsidP="00B06C7D">
      <w:pPr>
        <w:pStyle w:val="Normale2"/>
        <w:numPr>
          <w:ilvl w:val="1"/>
          <w:numId w:val="28"/>
        </w:numPr>
        <w:ind w:right="1135"/>
      </w:pPr>
      <w:r w:rsidRPr="003A4375">
        <w:t>CUP (Codice Unico di Progetto);</w:t>
      </w:r>
    </w:p>
    <w:p w:rsidR="00B06C7D" w:rsidRPr="003A4375" w:rsidRDefault="00B06C7D" w:rsidP="00F22009">
      <w:pPr>
        <w:pStyle w:val="Normale2"/>
        <w:numPr>
          <w:ilvl w:val="1"/>
          <w:numId w:val="28"/>
        </w:numPr>
        <w:ind w:right="1135"/>
      </w:pPr>
      <w:r w:rsidRPr="003A4375">
        <w:t>cronoprogramma dettagliato</w:t>
      </w:r>
      <w:r w:rsidR="00F22009" w:rsidRPr="003A4375">
        <w:t>;</w:t>
      </w:r>
    </w:p>
    <w:p w:rsidR="00F22009" w:rsidRPr="003A4375" w:rsidRDefault="008A7986" w:rsidP="00F22009">
      <w:pPr>
        <w:pStyle w:val="Normale2"/>
        <w:numPr>
          <w:ilvl w:val="1"/>
          <w:numId w:val="28"/>
        </w:numPr>
        <w:ind w:right="1135"/>
      </w:pPr>
      <w:r>
        <w:t xml:space="preserve">scheda di fruizione per la stima dei flussi di visitatori. </w:t>
      </w:r>
    </w:p>
    <w:p w:rsidR="000955A4" w:rsidRPr="00F22009" w:rsidRDefault="000955A4" w:rsidP="00F22009">
      <w:pPr>
        <w:pStyle w:val="Normale2"/>
        <w:ind w:left="0" w:right="1135"/>
        <w:rPr>
          <w:highlight w:val="yellow"/>
        </w:rPr>
      </w:pPr>
    </w:p>
    <w:p w:rsidR="00E348A8" w:rsidRPr="009F5A3F" w:rsidRDefault="00E348A8" w:rsidP="00020C5E">
      <w:pPr>
        <w:pStyle w:val="Normale2"/>
        <w:ind w:right="1135"/>
        <w:jc w:val="center"/>
        <w:rPr>
          <w:b/>
        </w:rPr>
      </w:pPr>
      <w:r w:rsidRPr="009F5A3F">
        <w:rPr>
          <w:b/>
        </w:rPr>
        <w:t>Art. 3 – Obblighi del Soggetto beneficiario</w:t>
      </w:r>
    </w:p>
    <w:p w:rsidR="00E348A8" w:rsidRDefault="00E348A8" w:rsidP="00E348A8">
      <w:pPr>
        <w:pStyle w:val="Normale2"/>
        <w:ind w:right="1135"/>
      </w:pPr>
    </w:p>
    <w:p w:rsidR="005D6AD2" w:rsidRDefault="00E348A8" w:rsidP="00020C5E">
      <w:pPr>
        <w:pStyle w:val="Normale2"/>
        <w:numPr>
          <w:ilvl w:val="0"/>
          <w:numId w:val="21"/>
        </w:numPr>
        <w:ind w:right="1135"/>
      </w:pPr>
      <w:r>
        <w:t xml:space="preserve">Il Soggetto beneficiario </w:t>
      </w:r>
      <w:r w:rsidR="005D6AD2">
        <w:t xml:space="preserve">dichiara di possedere la </w:t>
      </w:r>
      <w:r w:rsidR="005D6AD2" w:rsidRPr="005D6AD2">
        <w:t xml:space="preserve">capacità amministrativa, finanziaria e operativa </w:t>
      </w:r>
      <w:r w:rsidR="005D6AD2">
        <w:t>per</w:t>
      </w:r>
      <w:r w:rsidR="0041395C">
        <w:t xml:space="preserve"> dare attuazione</w:t>
      </w:r>
      <w:r>
        <w:t xml:space="preserve"> </w:t>
      </w:r>
      <w:r w:rsidR="0041395C">
        <w:t xml:space="preserve">nei tempi previsti </w:t>
      </w:r>
      <w:r>
        <w:t>all’intervento ogge</w:t>
      </w:r>
      <w:r w:rsidR="005D6AD2">
        <w:t xml:space="preserve">tto del presente </w:t>
      </w:r>
      <w:r w:rsidR="00020C5E">
        <w:t>Disciplinare</w:t>
      </w:r>
      <w:r w:rsidR="005D6AD2">
        <w:t xml:space="preserve"> e</w:t>
      </w:r>
      <w:r>
        <w:t xml:space="preserve"> si obbliga a:</w:t>
      </w:r>
    </w:p>
    <w:p w:rsidR="00E348A8" w:rsidRDefault="00E348A8" w:rsidP="00020C5E">
      <w:pPr>
        <w:pStyle w:val="Normale2"/>
        <w:numPr>
          <w:ilvl w:val="0"/>
          <w:numId w:val="22"/>
        </w:numPr>
        <w:ind w:right="1135"/>
      </w:pPr>
      <w:r>
        <w:t>rispettare, nelle diverse fasi di attuazione dell’intervento, la normativa comunitaria nazionale</w:t>
      </w:r>
      <w:r w:rsidR="00EA4C19">
        <w:t xml:space="preserve"> e regionale</w:t>
      </w:r>
      <w:r>
        <w:t xml:space="preserve"> vigente in materia di appalti pubblici</w:t>
      </w:r>
      <w:r w:rsidR="00857C25">
        <w:t xml:space="preserve"> e di ambiente, nonché quella</w:t>
      </w:r>
      <w:r>
        <w:t xml:space="preserve"> </w:t>
      </w:r>
      <w:r w:rsidR="00590D30">
        <w:t>civilistica e fiscale</w:t>
      </w:r>
      <w:r>
        <w:t>;</w:t>
      </w:r>
    </w:p>
    <w:p w:rsidR="00637C15" w:rsidRPr="009F5A3F" w:rsidRDefault="00637C15" w:rsidP="00020C5E">
      <w:pPr>
        <w:pStyle w:val="Normale2"/>
        <w:numPr>
          <w:ilvl w:val="0"/>
          <w:numId w:val="22"/>
        </w:numPr>
        <w:ind w:right="1135"/>
      </w:pPr>
      <w:r w:rsidRPr="009F5A3F">
        <w:t xml:space="preserve">rispettare, per quanto di propria competenza, la normativa regionale in materia di </w:t>
      </w:r>
      <w:proofErr w:type="spellStart"/>
      <w:r w:rsidRPr="009F5A3F">
        <w:t>ecoefficienza</w:t>
      </w:r>
      <w:proofErr w:type="spellEnd"/>
      <w:r w:rsidRPr="009F5A3F">
        <w:t xml:space="preserve"> e sostenibilità ambientale attraverso l’applicazione dei criteri dettati dal Piano di Azione Regionale per gli Acquisiti Verdi (PARAV) approvato con Legge </w:t>
      </w:r>
      <w:r w:rsidRPr="009F5A3F">
        <w:lastRenderedPageBreak/>
        <w:t>Regionale n. 23 del 01 Agosto 2006. In riferimento all’applicazione dei Criteri Ambientali Minimi (CAM) agli eventuali acquisti di prodotti e servizi per i quali i criteri ambientali siano stati approvati con D.M. MATTM (</w:t>
      </w:r>
      <w:hyperlink r:id="rId9" w:history="1">
        <w:r w:rsidRPr="009F5A3F">
          <w:t>http://www.minambiente.it/pagina/criteri-vigore</w:t>
        </w:r>
      </w:hyperlink>
      <w:r w:rsidRPr="009F5A3F">
        <w:t>) devono essere inserite specifiche disposizioni nei bandi di gara per l’affidamento di attività a terzi;</w:t>
      </w:r>
    </w:p>
    <w:p w:rsidR="00E348A8" w:rsidRDefault="00E348A8" w:rsidP="00020C5E">
      <w:pPr>
        <w:pStyle w:val="Normale2"/>
        <w:numPr>
          <w:ilvl w:val="0"/>
          <w:numId w:val="22"/>
        </w:numPr>
        <w:ind w:right="1135"/>
      </w:pPr>
      <w:r>
        <w:t xml:space="preserve">applicare e rispettare le disposizioni di cui alla L.R. 4/2007 e </w:t>
      </w:r>
      <w:proofErr w:type="spellStart"/>
      <w:r>
        <w:t>ss.mm.ii</w:t>
      </w:r>
      <w:proofErr w:type="spellEnd"/>
      <w:r>
        <w:t xml:space="preserve">. per gli interventi di importo superiore ad </w:t>
      </w:r>
      <w:r w:rsidR="00637C15" w:rsidRPr="00FF0FD7">
        <w:t xml:space="preserve">€ </w:t>
      </w:r>
      <w:r w:rsidR="0070004C" w:rsidRPr="0070004C">
        <w:t>10.000.000,00</w:t>
      </w:r>
      <w:r w:rsidRPr="00FF0FD7">
        <w:t xml:space="preserve"> e</w:t>
      </w:r>
      <w:r>
        <w:t xml:space="preserve"> quelle di cui all’art. 61 Reg. (UE) n. 1303/2013 in relazione agli interventi generatori di entrate di importo superiore ad € 1.000.000,00;</w:t>
      </w:r>
    </w:p>
    <w:p w:rsidR="00E348A8" w:rsidRDefault="00E348A8" w:rsidP="00020C5E">
      <w:pPr>
        <w:pStyle w:val="Normale2"/>
        <w:numPr>
          <w:ilvl w:val="0"/>
          <w:numId w:val="22"/>
        </w:numPr>
        <w:ind w:right="1135"/>
      </w:pPr>
      <w:r>
        <w:t>garantire l’applicazione della normativa prevista in materia di informazione e pubblicità per gli interventi cofinanziati da Fondi Strutturali, con particolare riferimento all’Allegato XII del Reg. (UE) n. 1303/2013 ed al Reg. (UE) n.  821/2014;</w:t>
      </w:r>
    </w:p>
    <w:p w:rsidR="00E348A8" w:rsidRPr="00E57777" w:rsidRDefault="00E348A8" w:rsidP="00020C5E">
      <w:pPr>
        <w:pStyle w:val="Normale2"/>
        <w:numPr>
          <w:ilvl w:val="0"/>
          <w:numId w:val="22"/>
        </w:numPr>
        <w:ind w:right="1135"/>
      </w:pPr>
      <w:r>
        <w:t xml:space="preserve">rispettare le disposizioni comunitarie e nazionali vigenti in materia di contabilità separata </w:t>
      </w:r>
      <w:r w:rsidR="007D0199" w:rsidRPr="007D0199">
        <w:t xml:space="preserve">o </w:t>
      </w:r>
      <w:r w:rsidR="007D0199" w:rsidRPr="00E57777">
        <w:t>di adeguata codificazione contabile</w:t>
      </w:r>
      <w:r w:rsidR="00E57777">
        <w:t xml:space="preserve"> per tutte le transazioni relative </w:t>
      </w:r>
      <w:r w:rsidR="0089382A">
        <w:t xml:space="preserve">all’intervento oggetto del presente </w:t>
      </w:r>
      <w:r w:rsidR="00020C5E">
        <w:t>Disciplinare</w:t>
      </w:r>
      <w:r w:rsidRPr="00E57777">
        <w:t>;</w:t>
      </w:r>
    </w:p>
    <w:p w:rsidR="00E348A8" w:rsidRDefault="00E348A8" w:rsidP="00020C5E">
      <w:pPr>
        <w:pStyle w:val="Normale2"/>
        <w:numPr>
          <w:ilvl w:val="0"/>
          <w:numId w:val="22"/>
        </w:numPr>
        <w:ind w:right="1135"/>
      </w:pPr>
      <w:r>
        <w:t>applicare e rispettare le disposizioni di cui alla Legge regionale 26.10.2006, n. 28</w:t>
      </w:r>
      <w:r w:rsidR="0000122E">
        <w:t xml:space="preserve"> </w:t>
      </w:r>
      <w:r>
        <w:t>in materia di contrasto al lavoro non regolare, anche attraverso specifiche disposizioni inserite nei bandi di gara per l’affidamento di attività a terzi;</w:t>
      </w:r>
    </w:p>
    <w:p w:rsidR="00E348A8" w:rsidRDefault="00E348A8" w:rsidP="00020C5E">
      <w:pPr>
        <w:pStyle w:val="Normale2"/>
        <w:numPr>
          <w:ilvl w:val="0"/>
          <w:numId w:val="22"/>
        </w:numPr>
        <w:ind w:right="1135"/>
      </w:pPr>
      <w:r>
        <w:t>applicare e rispettare, in quanto pertinenti, le disposizioni di cui alla Legge regionale 20.6.2008, n. 15 in materia di trasparenza dell’azione amministrativa;</w:t>
      </w:r>
    </w:p>
    <w:p w:rsidR="009F5A3F" w:rsidRDefault="00E348A8" w:rsidP="00020C5E">
      <w:pPr>
        <w:pStyle w:val="Normale2"/>
        <w:numPr>
          <w:ilvl w:val="0"/>
          <w:numId w:val="22"/>
        </w:numPr>
        <w:ind w:right="1135"/>
      </w:pPr>
      <w:r>
        <w:t xml:space="preserve">provvedere alla </w:t>
      </w:r>
      <w:r w:rsidR="00922A44">
        <w:t xml:space="preserve">comunicazione </w:t>
      </w:r>
      <w:r>
        <w:t>delle informazioni e alla rendicontazione delle spese mediante registrazione sul sistema di monitoraggio finanziario, fisico e procedurale MIRWEB, reso disponibile dalla Regione</w:t>
      </w:r>
      <w:r w:rsidR="00922A44">
        <w:t>.</w:t>
      </w:r>
      <w:r w:rsidR="009F5A3F">
        <w:t xml:space="preserve"> In particolare:</w:t>
      </w:r>
    </w:p>
    <w:p w:rsidR="009F5A3F" w:rsidRDefault="009F5A3F" w:rsidP="003001CA">
      <w:pPr>
        <w:pStyle w:val="Normale2"/>
        <w:numPr>
          <w:ilvl w:val="0"/>
          <w:numId w:val="12"/>
        </w:numPr>
        <w:ind w:right="1135"/>
      </w:pPr>
      <w:r>
        <w:t>reg</w:t>
      </w:r>
      <w:r w:rsidR="00E348A8">
        <w:t>istrare</w:t>
      </w:r>
      <w:r w:rsidR="00AF54D7" w:rsidRPr="00AF54D7">
        <w:t xml:space="preserve"> </w:t>
      </w:r>
      <w:r w:rsidR="00AF54D7">
        <w:t xml:space="preserve">nel sistema di monitoraggio </w:t>
      </w:r>
      <w:r w:rsidR="00AF54D7" w:rsidRPr="00BA4BF7">
        <w:t>MIRWEB</w:t>
      </w:r>
      <w:r w:rsidR="00E348A8">
        <w:t xml:space="preserve"> i pagamenti effettuati per l’attuazione dell’intervento </w:t>
      </w:r>
      <w:r w:rsidR="00922A44">
        <w:t>(</w:t>
      </w:r>
      <w:r w:rsidR="0070004C" w:rsidRPr="0070004C">
        <w:t>allegando la documentazione in formato elettronico attestante le spese effettuate e l’iter amministrativo che le ha determinate</w:t>
      </w:r>
      <w:r w:rsidR="00922A44">
        <w:t>)</w:t>
      </w:r>
      <w:r>
        <w:t>;</w:t>
      </w:r>
      <w:r w:rsidR="00395233" w:rsidRPr="00395233">
        <w:t xml:space="preserve"> </w:t>
      </w:r>
    </w:p>
    <w:p w:rsidR="009F5A3F" w:rsidRDefault="00395233" w:rsidP="003001CA">
      <w:pPr>
        <w:pStyle w:val="Normale2"/>
        <w:numPr>
          <w:ilvl w:val="0"/>
          <w:numId w:val="12"/>
        </w:numPr>
        <w:ind w:right="1135"/>
      </w:pPr>
      <w:r>
        <w:t>aggiornare i valori degli indicatori di realizzazione</w:t>
      </w:r>
      <w:r w:rsidR="0031089B">
        <w:t xml:space="preserve"> secondo la tempistica stabilita all’Art 8 del presente </w:t>
      </w:r>
      <w:r w:rsidR="00020C5E">
        <w:t>Disciplinare</w:t>
      </w:r>
      <w:r w:rsidR="0031089B">
        <w:t xml:space="preserve"> “Rendicontazione e Monitoraggio”</w:t>
      </w:r>
      <w:r w:rsidR="00C1010A">
        <w:t>;</w:t>
      </w:r>
    </w:p>
    <w:p w:rsidR="00D87259" w:rsidRDefault="00FE5D86" w:rsidP="003001CA">
      <w:pPr>
        <w:pStyle w:val="Normale2"/>
        <w:numPr>
          <w:ilvl w:val="0"/>
          <w:numId w:val="12"/>
        </w:numPr>
        <w:ind w:right="1135"/>
      </w:pPr>
      <w:r>
        <w:t>registrare nel sistema informativo l’avanzamento procedurale di cui all’Art.</w:t>
      </w:r>
      <w:r w:rsidR="009C0B5B">
        <w:t xml:space="preserve"> 4</w:t>
      </w:r>
      <w:r>
        <w:t xml:space="preserve"> del presente </w:t>
      </w:r>
      <w:r w:rsidR="00020C5E">
        <w:t>Disciplinare</w:t>
      </w:r>
      <w:r>
        <w:t xml:space="preserve"> </w:t>
      </w:r>
      <w:r w:rsidR="009C0B5B">
        <w:t>“</w:t>
      </w:r>
      <w:r w:rsidR="009F5A3F">
        <w:t>C</w:t>
      </w:r>
      <w:r w:rsidR="009C0B5B">
        <w:t xml:space="preserve">ronoprogramma dell’intervento” </w:t>
      </w:r>
      <w:r>
        <w:t xml:space="preserve">entro 10 </w:t>
      </w:r>
      <w:r w:rsidR="00C1010A">
        <w:t xml:space="preserve">(dieci) </w:t>
      </w:r>
      <w:r>
        <w:t xml:space="preserve">giorni </w:t>
      </w:r>
      <w:r w:rsidR="00A1274D">
        <w:t>dall’adozione dei relativi atti;</w:t>
      </w:r>
    </w:p>
    <w:p w:rsidR="00E348A8" w:rsidRDefault="00E348A8" w:rsidP="00020C5E">
      <w:pPr>
        <w:pStyle w:val="Normale2"/>
        <w:numPr>
          <w:ilvl w:val="0"/>
          <w:numId w:val="22"/>
        </w:numPr>
        <w:ind w:right="1135"/>
      </w:pPr>
      <w:r>
        <w:t xml:space="preserve">anticipare, ad avvenuto completamento dell’intervento, la quota </w:t>
      </w:r>
      <w:r w:rsidR="006C1DDD">
        <w:t xml:space="preserve">residua </w:t>
      </w:r>
      <w:r>
        <w:t>del 5% del contributo finanziario definitivo</w:t>
      </w:r>
      <w:r w:rsidR="006C1DDD">
        <w:t xml:space="preserve"> (di cui all’Art. 7, </w:t>
      </w:r>
      <w:r w:rsidR="006C1DDD" w:rsidRPr="007314B0">
        <w:t xml:space="preserve">comma 1, </w:t>
      </w:r>
      <w:proofErr w:type="spellStart"/>
      <w:r w:rsidR="006C1DDD" w:rsidRPr="007314B0">
        <w:t>lett</w:t>
      </w:r>
      <w:proofErr w:type="spellEnd"/>
      <w:r w:rsidR="006C1DDD" w:rsidRPr="007314B0">
        <w:t xml:space="preserve">. c del </w:t>
      </w:r>
      <w:r w:rsidR="00AE3D7D" w:rsidRPr="007314B0">
        <w:t>presente</w:t>
      </w:r>
      <w:r w:rsidR="00AE3D7D">
        <w:t xml:space="preserve"> D</w:t>
      </w:r>
      <w:r w:rsidR="006C1DDD">
        <w:t>isciplinare)</w:t>
      </w:r>
      <w:r>
        <w:t xml:space="preserve"> corrispondente alla </w:t>
      </w:r>
      <w:r w:rsidR="006C1DDD">
        <w:t xml:space="preserve">eventuale </w:t>
      </w:r>
      <w:r>
        <w:t>quota di saldo che la Regione erogherà a seguito dell’avvenuta approvazione del certificato di collaudo tecnico-</w:t>
      </w:r>
      <w:r>
        <w:lastRenderedPageBreak/>
        <w:t>amministrativo</w:t>
      </w:r>
      <w:r w:rsidR="0000123F">
        <w:t>/</w:t>
      </w:r>
      <w:r>
        <w:t>regolare esecuzione</w:t>
      </w:r>
      <w:r w:rsidR="0000123F">
        <w:t>/verifica di conformità</w:t>
      </w:r>
      <w:r>
        <w:t xml:space="preserve"> e dell’omologazione della spesa complessiva sostenuta per l'intervento;</w:t>
      </w:r>
    </w:p>
    <w:p w:rsidR="00E348A8" w:rsidRPr="0010504E" w:rsidRDefault="00E348A8" w:rsidP="00020C5E">
      <w:pPr>
        <w:pStyle w:val="Normale2"/>
        <w:numPr>
          <w:ilvl w:val="0"/>
          <w:numId w:val="22"/>
        </w:numPr>
        <w:ind w:right="1135"/>
      </w:pPr>
      <w:r>
        <w:t>presentare</w:t>
      </w:r>
      <w:r w:rsidR="00020C5E">
        <w:t>,</w:t>
      </w:r>
      <w:r>
        <w:t xml:space="preserve"> </w:t>
      </w:r>
      <w:r w:rsidR="004E2CC0">
        <w:t>attraverso il sistema MIRWEB</w:t>
      </w:r>
      <w:r w:rsidR="00436AFB" w:rsidRPr="0010504E">
        <w:t>:</w:t>
      </w:r>
      <w:r w:rsidRPr="0010504E">
        <w:t xml:space="preserve"> </w:t>
      </w:r>
    </w:p>
    <w:p w:rsidR="00637C15" w:rsidRPr="009F5A3F" w:rsidRDefault="004E2CC0" w:rsidP="003001CA">
      <w:pPr>
        <w:pStyle w:val="Normale2"/>
        <w:numPr>
          <w:ilvl w:val="0"/>
          <w:numId w:val="7"/>
        </w:numPr>
        <w:ind w:left="1560" w:right="1135"/>
      </w:pPr>
      <w:r>
        <w:t>la documentazione completa relativa ad</w:t>
      </w:r>
      <w:r w:rsidR="001C7B85" w:rsidRPr="009F5A3F">
        <w:t xml:space="preserve"> ogni affidamento attivato per la realizzazione dell’intervento</w:t>
      </w:r>
      <w:r w:rsidR="0070004C" w:rsidRPr="009F5A3F">
        <w:t xml:space="preserve">; </w:t>
      </w:r>
    </w:p>
    <w:p w:rsidR="00637C15" w:rsidRPr="009F5A3F" w:rsidRDefault="00637C15" w:rsidP="003001CA">
      <w:pPr>
        <w:pStyle w:val="Normale2"/>
        <w:numPr>
          <w:ilvl w:val="0"/>
          <w:numId w:val="7"/>
        </w:numPr>
        <w:ind w:left="1560" w:right="1135"/>
      </w:pPr>
      <w:r w:rsidRPr="009F5A3F">
        <w:t xml:space="preserve"> </w:t>
      </w:r>
      <w:r w:rsidR="004E2CC0">
        <w:t>la documentazione a supporto di ciascuna spesa sostenuta</w:t>
      </w:r>
      <w:r w:rsidR="00BA4BF7" w:rsidRPr="009F5A3F">
        <w:t xml:space="preserve"> in occasione di ogni </w:t>
      </w:r>
      <w:r w:rsidR="00EA078A" w:rsidRPr="009F5A3F">
        <w:t>rendicontazione</w:t>
      </w:r>
      <w:r w:rsidRPr="009F5A3F">
        <w:t>;</w:t>
      </w:r>
    </w:p>
    <w:p w:rsidR="00E348A8" w:rsidRDefault="00E348A8" w:rsidP="00020C5E">
      <w:pPr>
        <w:pStyle w:val="Normale2"/>
        <w:numPr>
          <w:ilvl w:val="0"/>
          <w:numId w:val="22"/>
        </w:numPr>
        <w:ind w:right="1135"/>
      </w:pPr>
      <w:r>
        <w:t xml:space="preserve">conservare e rendere disponibile la documentazione relativa all’operazione ammessa a contributo finanziario, ivi compresi tutti i giustificativi di spesa, nonché consentire le verifiche in loco a favore delle autorità di controllo regionali, nazionali e comunitarie per </w:t>
      </w:r>
      <w:r w:rsidR="00561A83">
        <w:rPr>
          <w:color w:val="000000"/>
        </w:rPr>
        <w:t>il periodo previsto dall’art. 140 del Reg. (UE) n. 1303/2013</w:t>
      </w:r>
      <w:r w:rsidR="00561A83">
        <w:t xml:space="preserve"> (tre anni a decorrere dal 31 dicembre successivo alla presentazione dei conti nei quali sono incluse le spese dell'operazione)</w:t>
      </w:r>
      <w:r>
        <w:t>, salvo diversa indicazione in  corso d’opera da parte della Regione;</w:t>
      </w:r>
    </w:p>
    <w:p w:rsidR="00E348A8" w:rsidRDefault="00E348A8" w:rsidP="00020C5E">
      <w:pPr>
        <w:pStyle w:val="Normale2"/>
        <w:numPr>
          <w:ilvl w:val="0"/>
          <w:numId w:val="22"/>
        </w:numPr>
        <w:ind w:right="1135"/>
      </w:pPr>
      <w:r>
        <w:t>rispettare il cronoprogramma di cui all’</w:t>
      </w:r>
      <w:r w:rsidR="00477074">
        <w:t>A</w:t>
      </w:r>
      <w:r w:rsidRPr="00BD19BA">
        <w:t>rt</w:t>
      </w:r>
      <w:r w:rsidR="0070004C" w:rsidRPr="00BD19BA">
        <w:t>. 4</w:t>
      </w:r>
      <w:r w:rsidRPr="00BD19BA">
        <w:t xml:space="preserve"> del</w:t>
      </w:r>
      <w:r>
        <w:t xml:space="preserve"> presente </w:t>
      </w:r>
      <w:r w:rsidR="00020C5E">
        <w:t>Disciplinare</w:t>
      </w:r>
      <w:r w:rsidR="00C1010A">
        <w:t>.</w:t>
      </w:r>
    </w:p>
    <w:p w:rsidR="00E348A8" w:rsidRDefault="00E348A8" w:rsidP="00E348A8">
      <w:pPr>
        <w:pStyle w:val="Normale2"/>
        <w:ind w:right="1135"/>
      </w:pPr>
    </w:p>
    <w:p w:rsidR="00E348A8" w:rsidRDefault="00E348A8" w:rsidP="00020C5E">
      <w:pPr>
        <w:pStyle w:val="Normale2"/>
        <w:ind w:right="1135"/>
        <w:jc w:val="center"/>
        <w:rPr>
          <w:b/>
        </w:rPr>
      </w:pPr>
      <w:r w:rsidRPr="009F5A3F">
        <w:rPr>
          <w:b/>
        </w:rPr>
        <w:t xml:space="preserve">Art. 4 – Cronoprogramma </w:t>
      </w:r>
      <w:r w:rsidR="00EF6D31" w:rsidRPr="009F5A3F">
        <w:rPr>
          <w:b/>
        </w:rPr>
        <w:t>dell’intervento</w:t>
      </w:r>
    </w:p>
    <w:p w:rsidR="009F5A3F" w:rsidRPr="009F5A3F" w:rsidRDefault="009F5A3F" w:rsidP="00E348A8">
      <w:pPr>
        <w:pStyle w:val="Normale2"/>
        <w:ind w:right="1135"/>
        <w:rPr>
          <w:b/>
        </w:rPr>
      </w:pPr>
    </w:p>
    <w:p w:rsidR="00E348A8" w:rsidRPr="00566D06" w:rsidRDefault="00E348A8" w:rsidP="00020C5E">
      <w:pPr>
        <w:pStyle w:val="Normale2"/>
        <w:numPr>
          <w:ilvl w:val="0"/>
          <w:numId w:val="23"/>
        </w:numPr>
        <w:ind w:right="1135"/>
      </w:pPr>
      <w:proofErr w:type="spellStart"/>
      <w:r w:rsidRPr="00566D06">
        <w:t>ll</w:t>
      </w:r>
      <w:proofErr w:type="spellEnd"/>
      <w:r w:rsidRPr="00566D06">
        <w:t xml:space="preserve"> Soggetto beneficiario si impegna al rispetto delle seguenti prescrizioni: </w:t>
      </w:r>
    </w:p>
    <w:p w:rsidR="009F5A3F" w:rsidRPr="00566D06" w:rsidRDefault="00E348A8" w:rsidP="003001CA">
      <w:pPr>
        <w:pStyle w:val="Normale2"/>
        <w:numPr>
          <w:ilvl w:val="0"/>
          <w:numId w:val="4"/>
        </w:numPr>
        <w:ind w:right="1135"/>
      </w:pPr>
      <w:r w:rsidRPr="00566D06">
        <w:t xml:space="preserve">avvio della procedura per </w:t>
      </w:r>
      <w:r w:rsidR="00EF6D31" w:rsidRPr="00566D06">
        <w:t>l’affi</w:t>
      </w:r>
      <w:r w:rsidR="00E729DA">
        <w:t xml:space="preserve">damento/acquisizione dei </w:t>
      </w:r>
      <w:r w:rsidR="00EF6D31" w:rsidRPr="00566D06">
        <w:t>servizi/forniture, nel rispetto delle vigenti normative in materia di appalti pubblici</w:t>
      </w:r>
      <w:r w:rsidR="00C1010A" w:rsidRPr="00566D06">
        <w:t xml:space="preserve">, </w:t>
      </w:r>
      <w:r w:rsidR="00EF6D31" w:rsidRPr="00566D06">
        <w:t xml:space="preserve">entro il </w:t>
      </w:r>
      <w:r w:rsidR="00BD3D4D" w:rsidRPr="00566D06">
        <w:t>____________</w:t>
      </w:r>
      <w:r w:rsidR="009F5A3F" w:rsidRPr="00566D06">
        <w:t>;</w:t>
      </w:r>
    </w:p>
    <w:p w:rsidR="00E348A8" w:rsidRPr="00566D06" w:rsidRDefault="00E348A8" w:rsidP="003001CA">
      <w:pPr>
        <w:pStyle w:val="Normale2"/>
        <w:numPr>
          <w:ilvl w:val="0"/>
          <w:numId w:val="4"/>
        </w:numPr>
        <w:ind w:right="1135"/>
      </w:pPr>
      <w:r w:rsidRPr="00566D06">
        <w:t xml:space="preserve">assunzione obbligo giuridicamente vincolante </w:t>
      </w:r>
      <w:r w:rsidR="00EC240C" w:rsidRPr="00566D06">
        <w:t xml:space="preserve">(aggiudicazione definitiva) </w:t>
      </w:r>
      <w:r w:rsidRPr="00566D06">
        <w:t>per l’affidamento/acquisizione dei</w:t>
      </w:r>
      <w:r w:rsidR="00E729DA">
        <w:t xml:space="preserve"> </w:t>
      </w:r>
      <w:r w:rsidRPr="00566D06">
        <w:t xml:space="preserve">servizi/forniture entro </w:t>
      </w:r>
      <w:r w:rsidR="00922A44" w:rsidRPr="00566D06">
        <w:t xml:space="preserve">il </w:t>
      </w:r>
      <w:r w:rsidR="00BD3D4D" w:rsidRPr="00566D06">
        <w:t>____________</w:t>
      </w:r>
      <w:r w:rsidR="009F5A3F" w:rsidRPr="00566D06">
        <w:t>;</w:t>
      </w:r>
      <w:r w:rsidRPr="00566D06">
        <w:t xml:space="preserve"> </w:t>
      </w:r>
    </w:p>
    <w:p w:rsidR="00E348A8" w:rsidRPr="00566D06" w:rsidRDefault="00E348A8" w:rsidP="003001CA">
      <w:pPr>
        <w:pStyle w:val="Normale2"/>
        <w:numPr>
          <w:ilvl w:val="0"/>
          <w:numId w:val="4"/>
        </w:numPr>
        <w:ind w:right="1135"/>
      </w:pPr>
      <w:r w:rsidRPr="00566D06">
        <w:t xml:space="preserve">avvio concreto delle attività entro </w:t>
      </w:r>
      <w:r w:rsidR="001B0A4E" w:rsidRPr="00566D06">
        <w:t>il</w:t>
      </w:r>
      <w:r w:rsidR="009F5A3F" w:rsidRPr="00566D06">
        <w:t xml:space="preserve"> </w:t>
      </w:r>
      <w:r w:rsidR="00BD3D4D" w:rsidRPr="00566D06">
        <w:t>____________</w:t>
      </w:r>
      <w:r w:rsidRPr="00566D06">
        <w:t xml:space="preserve">; </w:t>
      </w:r>
    </w:p>
    <w:p w:rsidR="00E348A8" w:rsidRPr="00566D06" w:rsidRDefault="003A02FA" w:rsidP="003001CA">
      <w:pPr>
        <w:pStyle w:val="Normale2"/>
        <w:numPr>
          <w:ilvl w:val="0"/>
          <w:numId w:val="4"/>
        </w:numPr>
        <w:ind w:right="1135"/>
      </w:pPr>
      <w:r w:rsidRPr="00566D06">
        <w:t xml:space="preserve">completamento </w:t>
      </w:r>
      <w:r w:rsidR="00DB3655" w:rsidRPr="00566D06">
        <w:t>delle at</w:t>
      </w:r>
      <w:r w:rsidR="00E729DA">
        <w:t>tività (</w:t>
      </w:r>
      <w:r w:rsidR="00DB3655" w:rsidRPr="00566D06">
        <w:t xml:space="preserve">fine fornitura </w:t>
      </w:r>
      <w:proofErr w:type="gramStart"/>
      <w:r w:rsidR="00DB3655" w:rsidRPr="00566D06">
        <w:t>servizi)  entro</w:t>
      </w:r>
      <w:proofErr w:type="gramEnd"/>
      <w:r w:rsidR="00DB3655" w:rsidRPr="00566D06">
        <w:t xml:space="preserve"> il</w:t>
      </w:r>
      <w:r w:rsidR="00C1010A" w:rsidRPr="00566D06">
        <w:t xml:space="preserve"> </w:t>
      </w:r>
      <w:r w:rsidR="00BD3D4D" w:rsidRPr="00566D06">
        <w:t>____________</w:t>
      </w:r>
      <w:r w:rsidR="00E348A8" w:rsidRPr="00566D06">
        <w:t>;</w:t>
      </w:r>
    </w:p>
    <w:p w:rsidR="00A3551A" w:rsidRPr="00566D06" w:rsidRDefault="00E348A8" w:rsidP="00A3551A">
      <w:pPr>
        <w:pStyle w:val="Normale2"/>
        <w:numPr>
          <w:ilvl w:val="0"/>
          <w:numId w:val="4"/>
        </w:numPr>
        <w:ind w:right="1135"/>
      </w:pPr>
      <w:r w:rsidRPr="00566D06">
        <w:t xml:space="preserve">operatività dell’intervento entro il </w:t>
      </w:r>
      <w:r w:rsidR="00BD3D4D" w:rsidRPr="00566D06">
        <w:t>____________.</w:t>
      </w:r>
    </w:p>
    <w:p w:rsidR="00A3551A" w:rsidRPr="00566D06" w:rsidRDefault="00A3551A" w:rsidP="00A3551A">
      <w:pPr>
        <w:pStyle w:val="Normale2"/>
        <w:ind w:left="814" w:right="1135"/>
      </w:pPr>
      <w:r w:rsidRPr="00566D06">
        <w:t xml:space="preserve">Cronoprogramma Spesa </w:t>
      </w:r>
      <w:r w:rsidR="004030A4" w:rsidRPr="00566D06">
        <w:t>effettuata dal Soggetto Beneficiario</w:t>
      </w:r>
    </w:p>
    <w:p w:rsidR="00A3551A" w:rsidRPr="00566D06" w:rsidRDefault="00A3551A" w:rsidP="00A3551A">
      <w:pPr>
        <w:pStyle w:val="Normale2"/>
        <w:ind w:left="814" w:right="1135"/>
      </w:pPr>
      <w:r w:rsidRPr="00566D06">
        <w:t>a)</w:t>
      </w:r>
      <w:r w:rsidRPr="00566D06">
        <w:tab/>
        <w:t>___% spesa</w:t>
      </w:r>
      <w:r w:rsidR="004030A4" w:rsidRPr="00566D06">
        <w:t xml:space="preserve"> sostenuta </w:t>
      </w:r>
      <w:r w:rsidR="00C94861" w:rsidRPr="00566D06">
        <w:t xml:space="preserve">(pagata e quietanzata) </w:t>
      </w:r>
      <w:r w:rsidR="004030A4" w:rsidRPr="00566D06">
        <w:t>dal Soggetto Beneficiario del contributo effettivamente ammesso a finanziamento</w:t>
      </w:r>
      <w:r w:rsidRPr="00566D06">
        <w:t xml:space="preserve"> da rendicontare entro la data del ___________________;</w:t>
      </w:r>
    </w:p>
    <w:p w:rsidR="00A3551A" w:rsidRPr="00566D06" w:rsidRDefault="00A3551A" w:rsidP="00A3551A">
      <w:pPr>
        <w:pStyle w:val="Normale2"/>
        <w:ind w:left="814" w:right="1135"/>
      </w:pPr>
      <w:r w:rsidRPr="00566D06">
        <w:t>b)</w:t>
      </w:r>
      <w:r w:rsidRPr="00566D06">
        <w:tab/>
        <w:t>___% spesa</w:t>
      </w:r>
      <w:r w:rsidR="004030A4" w:rsidRPr="00566D06">
        <w:t xml:space="preserve"> sostenuta </w:t>
      </w:r>
      <w:r w:rsidR="00C94861" w:rsidRPr="00566D06">
        <w:t xml:space="preserve">(pagata e quietanzata) </w:t>
      </w:r>
      <w:r w:rsidR="004030A4" w:rsidRPr="00566D06">
        <w:t>dal Soggetto Beneficiario del contributo effettivamente ammesso a finanziamento</w:t>
      </w:r>
      <w:r w:rsidRPr="00566D06">
        <w:t xml:space="preserve"> da rendicontare entro la data del ___________________;</w:t>
      </w:r>
    </w:p>
    <w:p w:rsidR="00617ADF" w:rsidRDefault="00617ADF" w:rsidP="00617ADF">
      <w:pPr>
        <w:pStyle w:val="Normale2"/>
        <w:ind w:left="1174" w:right="1135"/>
      </w:pPr>
    </w:p>
    <w:p w:rsidR="00E729DA" w:rsidRPr="00566D06" w:rsidRDefault="00E729DA" w:rsidP="00617ADF">
      <w:pPr>
        <w:pStyle w:val="Normale2"/>
        <w:ind w:left="1174" w:right="1135"/>
      </w:pPr>
    </w:p>
    <w:p w:rsidR="00E348A8" w:rsidRPr="00566D06" w:rsidRDefault="00E348A8" w:rsidP="00020C5E">
      <w:pPr>
        <w:pStyle w:val="Normale2"/>
        <w:numPr>
          <w:ilvl w:val="0"/>
          <w:numId w:val="23"/>
        </w:numPr>
        <w:ind w:right="1135"/>
      </w:pPr>
      <w:r w:rsidRPr="00566D06">
        <w:t xml:space="preserve">Per ciascuno dei </w:t>
      </w:r>
      <w:r w:rsidR="007F7E0F" w:rsidRPr="00566D06">
        <w:t xml:space="preserve">termini temporali </w:t>
      </w:r>
      <w:r w:rsidRPr="00566D06">
        <w:t xml:space="preserve">previsti </w:t>
      </w:r>
      <w:r w:rsidR="001B0A4E" w:rsidRPr="00566D06">
        <w:t>al precedente comma 1</w:t>
      </w:r>
      <w:r w:rsidRPr="00566D06">
        <w:t>, il Soggetto beneficiario è tenuto a comunicare alla Regione</w:t>
      </w:r>
      <w:r w:rsidR="00477074" w:rsidRPr="00566D06">
        <w:t>,</w:t>
      </w:r>
      <w:r w:rsidR="00DB3655" w:rsidRPr="00566D06">
        <w:t xml:space="preserve"> tramite il sistema informativo</w:t>
      </w:r>
      <w:r w:rsidR="00477074" w:rsidRPr="00566D06">
        <w:t>,</w:t>
      </w:r>
      <w:r w:rsidRPr="00566D06">
        <w:t xml:space="preserve"> l’avvenuto </w:t>
      </w:r>
      <w:r w:rsidRPr="00566D06">
        <w:lastRenderedPageBreak/>
        <w:t xml:space="preserve">adempimento </w:t>
      </w:r>
      <w:r w:rsidR="00DB3655" w:rsidRPr="00566D06">
        <w:t xml:space="preserve">allegando </w:t>
      </w:r>
      <w:r w:rsidRPr="00566D06">
        <w:t>i relativi atti probanti</w:t>
      </w:r>
      <w:r w:rsidR="0068157B" w:rsidRPr="00566D06">
        <w:t xml:space="preserve"> entro </w:t>
      </w:r>
      <w:r w:rsidR="00C1010A" w:rsidRPr="00566D06">
        <w:t>10 (</w:t>
      </w:r>
      <w:r w:rsidR="0068157B" w:rsidRPr="00566D06">
        <w:t>dieci</w:t>
      </w:r>
      <w:r w:rsidR="000955A4" w:rsidRPr="00566D06">
        <w:t>)</w:t>
      </w:r>
      <w:r w:rsidR="0068157B" w:rsidRPr="00566D06">
        <w:t xml:space="preserve"> giorni dalla loro adozione</w:t>
      </w:r>
      <w:r w:rsidRPr="00566D06">
        <w:t>.</w:t>
      </w:r>
    </w:p>
    <w:p w:rsidR="00617ADF" w:rsidRPr="00566D06" w:rsidRDefault="00617ADF" w:rsidP="00617ADF">
      <w:pPr>
        <w:pStyle w:val="Normale2"/>
        <w:ind w:left="720" w:right="1135"/>
      </w:pPr>
    </w:p>
    <w:p w:rsidR="009F5A3F" w:rsidRPr="00566D06" w:rsidRDefault="0070004C" w:rsidP="00020C5E">
      <w:pPr>
        <w:pStyle w:val="Normale2"/>
        <w:numPr>
          <w:ilvl w:val="0"/>
          <w:numId w:val="23"/>
        </w:numPr>
        <w:ind w:right="1135"/>
      </w:pPr>
      <w:r w:rsidRPr="00566D06">
        <w:t>Nel caso di mancato rispetto dei termini temporali sopra indicati</w:t>
      </w:r>
      <w:r w:rsidR="00477074" w:rsidRPr="00566D06">
        <w:t>,</w:t>
      </w:r>
      <w:r w:rsidRPr="00566D06">
        <w:t xml:space="preserve"> </w:t>
      </w:r>
      <w:r w:rsidR="00477074" w:rsidRPr="00566D06">
        <w:t xml:space="preserve">relativamente a </w:t>
      </w:r>
      <w:r w:rsidRPr="00566D06">
        <w:t>ciascuna delle singole fasi di attuazione dell’intervento</w:t>
      </w:r>
      <w:r w:rsidR="004E2CC0" w:rsidRPr="00566D06">
        <w:t>,</w:t>
      </w:r>
      <w:r w:rsidRPr="00566D06">
        <w:t xml:space="preserve"> la Regione si riserva la facoltà di sospendere e/o revocare il contributo finanziario concesso,</w:t>
      </w:r>
      <w:r w:rsidR="001A758E" w:rsidRPr="00566D06">
        <w:t xml:space="preserve"> con contestuale avvio </w:t>
      </w:r>
      <w:r w:rsidR="007F7E0F" w:rsidRPr="00566D06">
        <w:t xml:space="preserve">della </w:t>
      </w:r>
      <w:r w:rsidR="001A758E" w:rsidRPr="00566D06">
        <w:t xml:space="preserve"> procedura di recupero delle somme </w:t>
      </w:r>
      <w:r w:rsidR="007F7E0F" w:rsidRPr="00566D06">
        <w:t xml:space="preserve">eventualmente </w:t>
      </w:r>
      <w:r w:rsidR="001A758E" w:rsidRPr="00566D06">
        <w:t>già erogate,</w:t>
      </w:r>
      <w:r w:rsidRPr="00566D06">
        <w:t xml:space="preserve"> ove non sia comunque attendibilmente assicurato il rispetto del termine programmato di </w:t>
      </w:r>
      <w:r w:rsidRPr="00566D06">
        <w:rPr>
          <w:u w:val="single"/>
        </w:rPr>
        <w:t>completamento</w:t>
      </w:r>
      <w:r w:rsidRPr="00566D06">
        <w:t xml:space="preserve"> dell’intervento </w:t>
      </w:r>
      <w:r w:rsidR="00436AFB" w:rsidRPr="00566D06">
        <w:t>(</w:t>
      </w:r>
      <w:r w:rsidRPr="00566D06">
        <w:t xml:space="preserve">ovvero </w:t>
      </w:r>
      <w:r w:rsidR="009F5A3F" w:rsidRPr="00566D06">
        <w:t>i</w:t>
      </w:r>
      <w:r w:rsidR="00436AFB" w:rsidRPr="00566D06">
        <w:t>l termine di eleggibilità delle spese a rimborso comunitario, se antecedente al termine di completamento programmato)</w:t>
      </w:r>
      <w:r w:rsidRPr="00566D06">
        <w:t>, ovvero nel caso in cui non sia assicurata l’</w:t>
      </w:r>
      <w:r w:rsidRPr="00566D06">
        <w:rPr>
          <w:u w:val="single"/>
        </w:rPr>
        <w:t>operatività</w:t>
      </w:r>
      <w:r w:rsidRPr="00566D06">
        <w:t xml:space="preserve"> dello stesso nei </w:t>
      </w:r>
      <w:r w:rsidR="007F7E0F" w:rsidRPr="00566D06">
        <w:t xml:space="preserve">termini temporali </w:t>
      </w:r>
      <w:r w:rsidRPr="00566D06">
        <w:t>programmati</w:t>
      </w:r>
      <w:r w:rsidR="00436AFB" w:rsidRPr="00566D06">
        <w:t xml:space="preserve"> (ovvero nel termine fissato dalle disposizioni comunitarie per l’operatività delle operazioni, se antecedente alla data di operatività programmata)</w:t>
      </w:r>
      <w:r w:rsidR="009F5A3F" w:rsidRPr="00566D06">
        <w:t>.</w:t>
      </w:r>
    </w:p>
    <w:p w:rsidR="00617ADF" w:rsidRPr="00566D06" w:rsidRDefault="00617ADF" w:rsidP="00617ADF">
      <w:pPr>
        <w:pStyle w:val="Normale2"/>
        <w:ind w:left="720" w:right="1135"/>
      </w:pPr>
    </w:p>
    <w:p w:rsidR="0070004C" w:rsidRPr="00566D06" w:rsidRDefault="0070004C" w:rsidP="00477074">
      <w:pPr>
        <w:pStyle w:val="Paragrafoelenco"/>
        <w:widowControl/>
        <w:numPr>
          <w:ilvl w:val="0"/>
          <w:numId w:val="23"/>
        </w:numPr>
        <w:spacing w:after="20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 xml:space="preserve">Il Beneficiario, in caso di </w:t>
      </w:r>
      <w:proofErr w:type="gramStart"/>
      <w:r w:rsidRPr="00566D06">
        <w:rPr>
          <w:rFonts w:cs="Arial"/>
          <w:sz w:val="20"/>
          <w:szCs w:val="20"/>
        </w:rPr>
        <w:t xml:space="preserve">ritardi, </w:t>
      </w:r>
      <w:r w:rsidR="003A02FA" w:rsidRPr="00566D06">
        <w:rPr>
          <w:rFonts w:cs="Arial"/>
          <w:sz w:val="20"/>
          <w:szCs w:val="20"/>
        </w:rPr>
        <w:t xml:space="preserve"> avanza</w:t>
      </w:r>
      <w:proofErr w:type="gramEnd"/>
      <w:r w:rsidRPr="00566D06">
        <w:rPr>
          <w:rFonts w:cs="Arial"/>
          <w:sz w:val="20"/>
          <w:szCs w:val="20"/>
        </w:rPr>
        <w:t xml:space="preserve"> formale e motivata richiesta di proroga rispetto al cronoprogramma presentato. La Regione, valutate le motivazion</w:t>
      </w:r>
      <w:r w:rsidR="008B2C1B" w:rsidRPr="00566D06">
        <w:rPr>
          <w:rFonts w:cs="Arial"/>
          <w:sz w:val="20"/>
          <w:szCs w:val="20"/>
        </w:rPr>
        <w:t>i</w:t>
      </w:r>
      <w:r w:rsidR="00C1010A" w:rsidRPr="00566D06">
        <w:rPr>
          <w:rFonts w:cs="Arial"/>
          <w:sz w:val="20"/>
          <w:szCs w:val="20"/>
        </w:rPr>
        <w:t>,</w:t>
      </w:r>
      <w:r w:rsidRPr="00566D06">
        <w:rPr>
          <w:rFonts w:cs="Arial"/>
          <w:sz w:val="20"/>
          <w:szCs w:val="20"/>
        </w:rPr>
        <w:t xml:space="preserve"> potrà eccezionalmente concedere la proroga</w:t>
      </w:r>
      <w:r w:rsidR="00B130DA" w:rsidRPr="00566D06">
        <w:rPr>
          <w:rFonts w:cs="Arial"/>
          <w:sz w:val="20"/>
          <w:szCs w:val="20"/>
        </w:rPr>
        <w:t xml:space="preserve"> e</w:t>
      </w:r>
      <w:r w:rsidR="008B2C1B" w:rsidRPr="00566D06">
        <w:rPr>
          <w:rFonts w:cs="Arial"/>
          <w:sz w:val="20"/>
          <w:szCs w:val="20"/>
        </w:rPr>
        <w:t>d</w:t>
      </w:r>
      <w:r w:rsidR="00B130DA" w:rsidRPr="00566D06">
        <w:rPr>
          <w:rFonts w:cs="Arial"/>
          <w:sz w:val="20"/>
          <w:szCs w:val="20"/>
        </w:rPr>
        <w:t xml:space="preserve"> approvare il conseguente aggiornamento del </w:t>
      </w:r>
      <w:r w:rsidR="004E2CC0" w:rsidRPr="00566D06">
        <w:rPr>
          <w:rFonts w:cs="Arial"/>
          <w:sz w:val="20"/>
          <w:szCs w:val="20"/>
        </w:rPr>
        <w:t>cronoprogramma.</w:t>
      </w:r>
    </w:p>
    <w:p w:rsidR="00B31FEF" w:rsidRPr="00566D06" w:rsidRDefault="00E348A8">
      <w:pPr>
        <w:pStyle w:val="Normale2"/>
        <w:ind w:right="1135"/>
        <w:jc w:val="center"/>
        <w:rPr>
          <w:b/>
        </w:rPr>
      </w:pPr>
      <w:r w:rsidRPr="00566D06">
        <w:rPr>
          <w:b/>
        </w:rPr>
        <w:t xml:space="preserve">Art. 5 – Contributo finanziario </w:t>
      </w:r>
      <w:r w:rsidR="00F84BA8" w:rsidRPr="00566D06">
        <w:rPr>
          <w:b/>
        </w:rPr>
        <w:t xml:space="preserve">provvisorio e </w:t>
      </w:r>
      <w:r w:rsidRPr="00566D06">
        <w:rPr>
          <w:b/>
        </w:rPr>
        <w:t>definitivo</w:t>
      </w:r>
    </w:p>
    <w:p w:rsidR="00E348A8" w:rsidRPr="00566D06" w:rsidRDefault="00E348A8" w:rsidP="00E348A8">
      <w:pPr>
        <w:pStyle w:val="Normale2"/>
        <w:ind w:right="1135"/>
      </w:pPr>
    </w:p>
    <w:p w:rsidR="00F84BA8" w:rsidRPr="00566D06" w:rsidRDefault="00EC240C" w:rsidP="00F84BA8">
      <w:pPr>
        <w:pStyle w:val="Paragrafoelenco"/>
        <w:widowControl/>
        <w:numPr>
          <w:ilvl w:val="0"/>
          <w:numId w:val="13"/>
        </w:numPr>
        <w:spacing w:after="20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 xml:space="preserve">In sede di sottoscrizione del Disciplinare, la Regione </w:t>
      </w:r>
      <w:r w:rsidR="00F84BA8" w:rsidRPr="00566D06">
        <w:rPr>
          <w:rFonts w:cs="Arial"/>
          <w:sz w:val="20"/>
          <w:szCs w:val="20"/>
        </w:rPr>
        <w:t xml:space="preserve">provvede </w:t>
      </w:r>
      <w:r w:rsidRPr="00566D06">
        <w:rPr>
          <w:rFonts w:cs="Arial"/>
          <w:sz w:val="20"/>
          <w:szCs w:val="20"/>
        </w:rPr>
        <w:t>ad adottare l’</w:t>
      </w:r>
      <w:r w:rsidR="00F84BA8" w:rsidRPr="00566D06">
        <w:rPr>
          <w:rFonts w:cs="Arial"/>
          <w:sz w:val="20"/>
          <w:szCs w:val="20"/>
        </w:rPr>
        <w:t xml:space="preserve">atto di concessione del contributo finanziario </w:t>
      </w:r>
      <w:r w:rsidR="00C5371D" w:rsidRPr="00566D06">
        <w:rPr>
          <w:rFonts w:cs="Arial"/>
          <w:sz w:val="20"/>
          <w:szCs w:val="20"/>
        </w:rPr>
        <w:t xml:space="preserve">provvisorio, </w:t>
      </w:r>
      <w:r w:rsidR="00F84BA8" w:rsidRPr="00566D06">
        <w:rPr>
          <w:rFonts w:cs="Arial"/>
          <w:sz w:val="20"/>
          <w:szCs w:val="20"/>
        </w:rPr>
        <w:t>di pari importo a</w:t>
      </w:r>
      <w:r w:rsidR="001A63CE" w:rsidRPr="00566D06">
        <w:rPr>
          <w:rFonts w:cs="Arial"/>
          <w:sz w:val="20"/>
          <w:szCs w:val="20"/>
        </w:rPr>
        <w:t xml:space="preserve"> quello ammesso a finanziamento</w:t>
      </w:r>
      <w:r w:rsidR="00F84BA8" w:rsidRPr="00566D06">
        <w:rPr>
          <w:rFonts w:cs="Arial"/>
          <w:sz w:val="20"/>
          <w:szCs w:val="20"/>
        </w:rPr>
        <w:t>.</w:t>
      </w:r>
    </w:p>
    <w:p w:rsidR="00F84BA8" w:rsidRPr="00566D06" w:rsidRDefault="00F84BA8" w:rsidP="00F84BA8">
      <w:pPr>
        <w:pStyle w:val="Paragrafoelenco"/>
        <w:widowControl/>
        <w:numPr>
          <w:ilvl w:val="0"/>
          <w:numId w:val="13"/>
        </w:numPr>
        <w:spacing w:after="20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Per ciascuna gara espletata, a seguito dell’aggiudicazione definitiva, il Soggetto beneficiario trasmette alla Regione i relativi atti unitamente al quadro economico rideterminato ed approvato, redatto – per quanto attiene alle spese ammissibili - conformemente alle disposizioni di cui al successivo Art. 6.</w:t>
      </w:r>
    </w:p>
    <w:p w:rsidR="00F84BA8" w:rsidRDefault="00EC240C" w:rsidP="00EC240C">
      <w:pPr>
        <w:pStyle w:val="Paragrafoelenco"/>
        <w:widowControl/>
        <w:numPr>
          <w:ilvl w:val="0"/>
          <w:numId w:val="13"/>
        </w:numPr>
        <w:spacing w:after="20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 xml:space="preserve">A conclusione fisica e finanziaria dell’intervento, la Regione </w:t>
      </w:r>
      <w:r w:rsidR="00F84BA8" w:rsidRPr="00566D06">
        <w:rPr>
          <w:rFonts w:cs="Arial"/>
          <w:sz w:val="20"/>
          <w:szCs w:val="20"/>
        </w:rPr>
        <w:t>provvede a</w:t>
      </w:r>
      <w:r w:rsidRPr="00566D06">
        <w:rPr>
          <w:rFonts w:cs="Arial"/>
          <w:sz w:val="20"/>
          <w:szCs w:val="20"/>
        </w:rPr>
        <w:t xml:space="preserve">d adottare </w:t>
      </w:r>
      <w:r w:rsidR="00F84BA8" w:rsidRPr="00566D06">
        <w:rPr>
          <w:rFonts w:cs="Arial"/>
          <w:sz w:val="20"/>
          <w:szCs w:val="20"/>
        </w:rPr>
        <w:t>l’atto di concessione del contributo finanziario definitivo nella misura dell’importo rideterminato</w:t>
      </w:r>
      <w:r w:rsidRPr="00566D06">
        <w:rPr>
          <w:rFonts w:cs="Arial"/>
          <w:sz w:val="20"/>
          <w:szCs w:val="20"/>
        </w:rPr>
        <w:t xml:space="preserve"> e all’erogazione del Saldo finale</w:t>
      </w:r>
      <w:r w:rsidR="00F84BA8" w:rsidRPr="00566D06">
        <w:rPr>
          <w:rFonts w:cs="Arial"/>
          <w:sz w:val="20"/>
          <w:szCs w:val="20"/>
        </w:rPr>
        <w:t>, al netto delle somme rivenienti dalle economie conseguite a seguito dell'espletamento della gara d'appalto</w:t>
      </w:r>
      <w:r w:rsidRPr="00566D06">
        <w:rPr>
          <w:rFonts w:cs="Arial"/>
          <w:sz w:val="20"/>
          <w:szCs w:val="20"/>
        </w:rPr>
        <w:t xml:space="preserve"> e di fine progetto</w:t>
      </w:r>
      <w:r w:rsidR="00F84BA8" w:rsidRPr="00566D06">
        <w:rPr>
          <w:rFonts w:cs="Arial"/>
          <w:sz w:val="20"/>
          <w:szCs w:val="20"/>
        </w:rPr>
        <w:t xml:space="preserve">. </w:t>
      </w:r>
    </w:p>
    <w:p w:rsidR="00E729DA" w:rsidRPr="00566D06" w:rsidRDefault="00E729DA" w:rsidP="00E729DA">
      <w:pPr>
        <w:pStyle w:val="Paragrafoelenco"/>
        <w:widowControl/>
        <w:spacing w:after="200" w:line="360" w:lineRule="auto"/>
        <w:ind w:left="720" w:right="1133"/>
        <w:contextualSpacing/>
        <w:rPr>
          <w:rFonts w:cs="Arial"/>
          <w:sz w:val="20"/>
          <w:szCs w:val="20"/>
        </w:rPr>
      </w:pPr>
    </w:p>
    <w:p w:rsidR="00B31FEF" w:rsidRPr="00566D06" w:rsidRDefault="00E348A8" w:rsidP="008D29CE">
      <w:pPr>
        <w:pStyle w:val="Normale2"/>
        <w:keepNext/>
        <w:keepLines/>
        <w:widowControl/>
        <w:ind w:right="1135"/>
        <w:jc w:val="center"/>
        <w:rPr>
          <w:b/>
        </w:rPr>
      </w:pPr>
      <w:r w:rsidRPr="00566D06">
        <w:rPr>
          <w:b/>
        </w:rPr>
        <w:lastRenderedPageBreak/>
        <w:t>Art. 6 – Spese ammissibili</w:t>
      </w:r>
    </w:p>
    <w:p w:rsidR="009F5A3F" w:rsidRPr="00566D06" w:rsidRDefault="009F5A3F" w:rsidP="008D29CE">
      <w:pPr>
        <w:pStyle w:val="Normale2"/>
        <w:keepNext/>
        <w:keepLines/>
        <w:widowControl/>
        <w:ind w:right="1135"/>
      </w:pPr>
    </w:p>
    <w:p w:rsidR="00E348A8" w:rsidRPr="00566D06" w:rsidRDefault="00E348A8" w:rsidP="008D29CE">
      <w:pPr>
        <w:pStyle w:val="Paragrafoelenco"/>
        <w:keepNext/>
        <w:keepLines/>
        <w:widowControl/>
        <w:numPr>
          <w:ilvl w:val="0"/>
          <w:numId w:val="14"/>
        </w:numPr>
        <w:spacing w:after="20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L’ammontare del contributo finanziario</w:t>
      </w:r>
      <w:r w:rsidR="00064C39">
        <w:rPr>
          <w:rFonts w:cs="Arial"/>
          <w:sz w:val="20"/>
          <w:szCs w:val="20"/>
        </w:rPr>
        <w:t xml:space="preserve"> </w:t>
      </w:r>
      <w:r w:rsidRPr="00566D06">
        <w:rPr>
          <w:rFonts w:cs="Arial"/>
          <w:sz w:val="20"/>
          <w:szCs w:val="20"/>
        </w:rPr>
        <w:t>concesso, rilevabile a seguito d</w:t>
      </w:r>
      <w:r w:rsidR="001B615C" w:rsidRPr="00566D06">
        <w:rPr>
          <w:rFonts w:cs="Arial"/>
          <w:sz w:val="20"/>
          <w:szCs w:val="20"/>
        </w:rPr>
        <w:t>el</w:t>
      </w:r>
      <w:r w:rsidRPr="00566D06">
        <w:rPr>
          <w:rFonts w:cs="Arial"/>
          <w:sz w:val="20"/>
          <w:szCs w:val="20"/>
        </w:rPr>
        <w:t xml:space="preserve"> quadro economico post gara/e, costituisce l’importo massimo a disposizione del Soggetto beneficiario.</w:t>
      </w:r>
    </w:p>
    <w:p w:rsidR="00617ADF" w:rsidRPr="00566D06" w:rsidRDefault="00617ADF" w:rsidP="00617ADF">
      <w:pPr>
        <w:pStyle w:val="Paragrafoelenco"/>
        <w:widowControl/>
        <w:spacing w:after="200" w:line="360" w:lineRule="auto"/>
        <w:ind w:left="720" w:right="1133"/>
        <w:contextualSpacing/>
        <w:rPr>
          <w:rFonts w:cs="Arial"/>
          <w:sz w:val="20"/>
          <w:szCs w:val="20"/>
        </w:rPr>
      </w:pPr>
    </w:p>
    <w:p w:rsidR="00E348A8" w:rsidRPr="00566D06" w:rsidRDefault="00E348A8" w:rsidP="003001CA">
      <w:pPr>
        <w:pStyle w:val="Paragrafoelenco"/>
        <w:widowControl/>
        <w:numPr>
          <w:ilvl w:val="0"/>
          <w:numId w:val="14"/>
        </w:numPr>
        <w:spacing w:after="200" w:line="360" w:lineRule="auto"/>
        <w:ind w:right="1133"/>
        <w:contextualSpacing/>
      </w:pPr>
      <w:r w:rsidRPr="00566D06">
        <w:rPr>
          <w:rFonts w:cs="Arial"/>
          <w:sz w:val="20"/>
          <w:szCs w:val="20"/>
        </w:rPr>
        <w:t>Le spese ammissibili a contribuzione finanziaria sono quelle definite dal Reg. (UE) n. 1303/2013, dalla normativa nazionale di riferimento (ai sensi dell’articolo 65, paragrafo 1, del Reg. n. 1303/2013) e dalle norme specifiche relative al fondo FESR di cui al Reg. (UE) n. 1301/2013.</w:t>
      </w:r>
    </w:p>
    <w:p w:rsidR="00E348A8" w:rsidRPr="00566D06" w:rsidRDefault="00E348A8" w:rsidP="0050740F">
      <w:pPr>
        <w:pStyle w:val="Paragrafoelenco"/>
        <w:widowControl/>
        <w:spacing w:after="200" w:line="360" w:lineRule="auto"/>
        <w:ind w:left="720"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In particolare, a titolo esemplificativo, sono ammissibili le seguenti categorie di spesa:</w:t>
      </w:r>
    </w:p>
    <w:p w:rsidR="00A3551A" w:rsidRPr="00566D06" w:rsidRDefault="00A3551A" w:rsidP="00A3551A">
      <w:pPr>
        <w:pStyle w:val="Paragrafoelenco"/>
        <w:numPr>
          <w:ilvl w:val="0"/>
          <w:numId w:val="29"/>
        </w:numPr>
        <w:spacing w:after="200" w:line="360" w:lineRule="auto"/>
        <w:ind w:right="1133"/>
        <w:rPr>
          <w:bCs/>
          <w:sz w:val="20"/>
          <w:szCs w:val="20"/>
        </w:rPr>
      </w:pPr>
      <w:r w:rsidRPr="00566D06">
        <w:rPr>
          <w:bCs/>
          <w:sz w:val="20"/>
          <w:szCs w:val="20"/>
          <w:u w:val="single"/>
        </w:rPr>
        <w:t>forniture</w:t>
      </w:r>
      <w:r w:rsidRPr="00566D06">
        <w:rPr>
          <w:bCs/>
          <w:sz w:val="20"/>
          <w:szCs w:val="20"/>
        </w:rPr>
        <w:t xml:space="preserve"> </w:t>
      </w:r>
      <w:r w:rsidR="00E729DA">
        <w:rPr>
          <w:bCs/>
          <w:sz w:val="20"/>
          <w:szCs w:val="20"/>
        </w:rPr>
        <w:t xml:space="preserve">e </w:t>
      </w:r>
      <w:r w:rsidR="00E729DA" w:rsidRPr="00E729DA">
        <w:rPr>
          <w:bCs/>
          <w:sz w:val="20"/>
          <w:szCs w:val="20"/>
          <w:u w:val="single"/>
        </w:rPr>
        <w:t>servizi</w:t>
      </w:r>
      <w:r w:rsidR="00E729DA">
        <w:rPr>
          <w:bCs/>
          <w:sz w:val="20"/>
          <w:szCs w:val="20"/>
        </w:rPr>
        <w:t xml:space="preserve"> </w:t>
      </w:r>
      <w:bookmarkStart w:id="0" w:name="_GoBack"/>
      <w:bookmarkEnd w:id="0"/>
      <w:r w:rsidR="00AB7969" w:rsidRPr="009A5443">
        <w:rPr>
          <w:bCs/>
          <w:sz w:val="20"/>
          <w:szCs w:val="20"/>
        </w:rPr>
        <w:t xml:space="preserve">(compresi oneri </w:t>
      </w:r>
      <w:r w:rsidR="00AB7969" w:rsidRPr="009A5443">
        <w:rPr>
          <w:sz w:val="20"/>
          <w:szCs w:val="20"/>
        </w:rPr>
        <w:t>per la sicurezza</w:t>
      </w:r>
      <w:r w:rsidR="00AB7969" w:rsidRPr="009A5443">
        <w:rPr>
          <w:bCs/>
          <w:sz w:val="20"/>
          <w:szCs w:val="20"/>
        </w:rPr>
        <w:t>)</w:t>
      </w:r>
      <w:r w:rsidR="00AB7969">
        <w:rPr>
          <w:bCs/>
          <w:sz w:val="20"/>
          <w:szCs w:val="20"/>
        </w:rPr>
        <w:t xml:space="preserve"> </w:t>
      </w:r>
      <w:r w:rsidRPr="00566D06">
        <w:rPr>
          <w:bCs/>
          <w:sz w:val="20"/>
          <w:szCs w:val="20"/>
        </w:rPr>
        <w:t>connesse alla realizzazione dell’intervento nonché funzionali alla sua operatività (ad esempio spese</w:t>
      </w:r>
      <w:r w:rsidR="00E729DA">
        <w:rPr>
          <w:bCs/>
          <w:sz w:val="20"/>
          <w:szCs w:val="20"/>
        </w:rPr>
        <w:t xml:space="preserve"> per la realizzazione dell’opera</w:t>
      </w:r>
      <w:r w:rsidR="00064C39">
        <w:rPr>
          <w:bCs/>
          <w:sz w:val="20"/>
          <w:szCs w:val="20"/>
        </w:rPr>
        <w:t xml:space="preserve"> artistica</w:t>
      </w:r>
      <w:r w:rsidR="00E729DA">
        <w:rPr>
          <w:bCs/>
          <w:sz w:val="20"/>
          <w:szCs w:val="20"/>
        </w:rPr>
        <w:t>, spese per migliorare l’accessibilità</w:t>
      </w:r>
      <w:r w:rsidRPr="00566D06">
        <w:rPr>
          <w:bCs/>
          <w:sz w:val="20"/>
          <w:szCs w:val="20"/>
        </w:rPr>
        <w:t>; spese per l’acquisto di attrezzature di tipo fisse e mobili volte a migliorare la fruizione/funzionalità; adeguamento, riqualificazione degli spazi interni e/o collegati al bene oggetto di intervento; interventi di allestimento);</w:t>
      </w:r>
    </w:p>
    <w:p w:rsidR="00E729DA" w:rsidRPr="00E729DA" w:rsidRDefault="00E729DA" w:rsidP="00E729DA">
      <w:pPr>
        <w:pStyle w:val="Paragrafoelenco"/>
        <w:numPr>
          <w:ilvl w:val="0"/>
          <w:numId w:val="29"/>
        </w:numPr>
        <w:spacing w:line="360" w:lineRule="auto"/>
        <w:ind w:right="1133"/>
        <w:rPr>
          <w:sz w:val="20"/>
          <w:szCs w:val="20"/>
        </w:rPr>
      </w:pPr>
      <w:bookmarkStart w:id="1" w:name="_Hlk534984479"/>
      <w:r w:rsidRPr="00E729DA">
        <w:rPr>
          <w:sz w:val="20"/>
          <w:szCs w:val="20"/>
          <w:u w:val="single"/>
        </w:rPr>
        <w:t>spese generali</w:t>
      </w:r>
      <w:r w:rsidRPr="00E729DA">
        <w:rPr>
          <w:sz w:val="20"/>
          <w:szCs w:val="20"/>
        </w:rPr>
        <w:t xml:space="preserve">, da declinare nel quadro economico tra le somme a disposizione del Soggetto beneficiario; tali spese sono quelle relative alle seguenti voci: spese necessarie per attività preliminari, spese di gara (commissioni di aggiudicazione), </w:t>
      </w:r>
      <w:r w:rsidR="009A5443" w:rsidRPr="009A5443">
        <w:rPr>
          <w:sz w:val="20"/>
          <w:szCs w:val="20"/>
        </w:rPr>
        <w:t xml:space="preserve">spese per le verifiche di </w:t>
      </w:r>
      <w:r w:rsidR="00AB7969" w:rsidRPr="009A5443">
        <w:rPr>
          <w:sz w:val="20"/>
          <w:szCs w:val="20"/>
        </w:rPr>
        <w:t>conformità</w:t>
      </w:r>
      <w:r w:rsidR="009A5443" w:rsidRPr="009A5443">
        <w:rPr>
          <w:sz w:val="20"/>
          <w:szCs w:val="20"/>
        </w:rPr>
        <w:t>/certificato di regolare esecu</w:t>
      </w:r>
      <w:r w:rsidR="009A5443" w:rsidRPr="009A5443">
        <w:rPr>
          <w:sz w:val="20"/>
          <w:szCs w:val="20"/>
        </w:rPr>
        <w:t>z</w:t>
      </w:r>
      <w:r w:rsidR="009A5443" w:rsidRPr="009A5443">
        <w:rPr>
          <w:sz w:val="20"/>
          <w:szCs w:val="20"/>
        </w:rPr>
        <w:t>ione dei</w:t>
      </w:r>
      <w:r w:rsidR="009A5443">
        <w:rPr>
          <w:sz w:val="20"/>
          <w:szCs w:val="20"/>
        </w:rPr>
        <w:t xml:space="preserve"> servi</w:t>
      </w:r>
      <w:r w:rsidR="009A5443" w:rsidRPr="00566D06">
        <w:rPr>
          <w:sz w:val="20"/>
          <w:szCs w:val="20"/>
        </w:rPr>
        <w:t>z</w:t>
      </w:r>
      <w:r w:rsidR="009A5443">
        <w:rPr>
          <w:sz w:val="20"/>
          <w:szCs w:val="20"/>
        </w:rPr>
        <w:t>i e le forniture</w:t>
      </w:r>
      <w:r w:rsidR="00E8660D" w:rsidRPr="00AB7969">
        <w:rPr>
          <w:sz w:val="20"/>
          <w:szCs w:val="20"/>
        </w:rPr>
        <w:t>,</w:t>
      </w:r>
      <w:r w:rsidR="00E8660D">
        <w:rPr>
          <w:sz w:val="20"/>
          <w:szCs w:val="20"/>
        </w:rPr>
        <w:t xml:space="preserve"> </w:t>
      </w:r>
      <w:r w:rsidRPr="00E729DA">
        <w:rPr>
          <w:sz w:val="20"/>
          <w:szCs w:val="20"/>
        </w:rPr>
        <w:t xml:space="preserve">consulenze e/o supporto tecnico-amministrativo. </w:t>
      </w:r>
      <w:r w:rsidRPr="00E729DA">
        <w:rPr>
          <w:bCs/>
          <w:sz w:val="20"/>
          <w:szCs w:val="20"/>
        </w:rPr>
        <w:t>Le spese generali potranno essere riconosciute ammissibili per un importo massimo del 4% (quattro per cento) per le forniture ed i servizi dell’importo posto a base di gara comprensivo di oneri per la sicurezza;</w:t>
      </w:r>
    </w:p>
    <w:p w:rsidR="00E729DA" w:rsidRPr="00AB7969" w:rsidRDefault="00E729DA" w:rsidP="00E729DA">
      <w:pPr>
        <w:pStyle w:val="Paragrafoelenco"/>
        <w:numPr>
          <w:ilvl w:val="0"/>
          <w:numId w:val="29"/>
        </w:numPr>
        <w:spacing w:after="200" w:line="360" w:lineRule="auto"/>
        <w:ind w:right="1133"/>
        <w:rPr>
          <w:bCs/>
          <w:sz w:val="20"/>
          <w:szCs w:val="20"/>
        </w:rPr>
      </w:pPr>
      <w:r w:rsidRPr="00E729DA">
        <w:rPr>
          <w:bCs/>
          <w:sz w:val="20"/>
          <w:szCs w:val="20"/>
        </w:rPr>
        <w:t xml:space="preserve">le </w:t>
      </w:r>
      <w:r w:rsidRPr="00E729DA">
        <w:rPr>
          <w:bCs/>
          <w:sz w:val="20"/>
          <w:szCs w:val="20"/>
          <w:u w:val="single"/>
        </w:rPr>
        <w:t>spese di progettazione per servizi e forniture</w:t>
      </w:r>
      <w:r w:rsidRPr="00E729DA">
        <w:rPr>
          <w:bCs/>
          <w:sz w:val="20"/>
          <w:szCs w:val="20"/>
        </w:rPr>
        <w:t xml:space="preserve"> e direzione esecuzione del contratto, in una percentuale non superior</w:t>
      </w:r>
      <w:r w:rsidRPr="00AB7969">
        <w:rPr>
          <w:bCs/>
          <w:sz w:val="20"/>
          <w:szCs w:val="20"/>
        </w:rPr>
        <w:t>e al 5 % (cinque per cento</w:t>
      </w:r>
      <w:r w:rsidR="00AB7969" w:rsidRPr="00AB7969">
        <w:rPr>
          <w:bCs/>
          <w:sz w:val="20"/>
          <w:szCs w:val="20"/>
        </w:rPr>
        <w:t xml:space="preserve">) </w:t>
      </w:r>
      <w:r w:rsidR="00AB7969" w:rsidRPr="00AB7969">
        <w:rPr>
          <w:bCs/>
          <w:sz w:val="20"/>
          <w:szCs w:val="20"/>
        </w:rPr>
        <w:t>dell’importo</w:t>
      </w:r>
      <w:r w:rsidR="00AB7969" w:rsidRPr="00E729DA">
        <w:rPr>
          <w:bCs/>
          <w:sz w:val="20"/>
          <w:szCs w:val="20"/>
        </w:rPr>
        <w:t xml:space="preserve"> posto a base di gara comprensivo di oneri per la sicurezza</w:t>
      </w:r>
      <w:r w:rsidR="00AB7969">
        <w:rPr>
          <w:bCs/>
          <w:sz w:val="20"/>
          <w:szCs w:val="20"/>
        </w:rPr>
        <w:t xml:space="preserve">, </w:t>
      </w:r>
      <w:r w:rsidRPr="00E729DA">
        <w:rPr>
          <w:sz w:val="20"/>
          <w:szCs w:val="20"/>
        </w:rPr>
        <w:t xml:space="preserve">e vanno determinate </w:t>
      </w:r>
      <w:r w:rsidR="00624D8C" w:rsidRPr="00AB7969">
        <w:rPr>
          <w:sz w:val="20"/>
          <w:szCs w:val="20"/>
        </w:rPr>
        <w:t>tenendo conto</w:t>
      </w:r>
      <w:r w:rsidRPr="00AB7969">
        <w:rPr>
          <w:sz w:val="20"/>
          <w:szCs w:val="20"/>
        </w:rPr>
        <w:t xml:space="preserve"> delle Linee Guida dell’ANAC n. 1 </w:t>
      </w:r>
      <w:r w:rsidR="00AB7969" w:rsidRPr="00AB7969">
        <w:rPr>
          <w:sz w:val="20"/>
          <w:szCs w:val="20"/>
        </w:rPr>
        <w:t xml:space="preserve">e relativi aggiornamenti </w:t>
      </w:r>
      <w:r w:rsidRPr="00AB7969">
        <w:rPr>
          <w:sz w:val="20"/>
          <w:szCs w:val="20"/>
        </w:rPr>
        <w:t>concernenti gli indirizzi generali sugli affidamenti attinenti all’architettura e all’ingegneria.</w:t>
      </w:r>
    </w:p>
    <w:p w:rsidR="00A3551A" w:rsidRPr="00566D06" w:rsidRDefault="00A3551A" w:rsidP="00A3551A">
      <w:pPr>
        <w:pStyle w:val="Paragrafoelenco"/>
        <w:numPr>
          <w:ilvl w:val="0"/>
          <w:numId w:val="29"/>
        </w:numPr>
        <w:spacing w:after="200" w:line="360" w:lineRule="auto"/>
        <w:ind w:right="1133"/>
        <w:rPr>
          <w:bCs/>
          <w:sz w:val="20"/>
          <w:szCs w:val="20"/>
        </w:rPr>
      </w:pPr>
      <w:r w:rsidRPr="00566D06">
        <w:rPr>
          <w:bCs/>
          <w:sz w:val="20"/>
          <w:szCs w:val="20"/>
        </w:rPr>
        <w:t>indennità e contributi dovuti ad enti pubblici e privati come per legge (permessi, concessioni, autorizzazioni finalizzate all’esecuzione delle opere), spese per allacciamenti;</w:t>
      </w:r>
    </w:p>
    <w:p w:rsidR="00A3551A" w:rsidRPr="00566D06" w:rsidRDefault="00A3551A" w:rsidP="00A3551A">
      <w:pPr>
        <w:pStyle w:val="Paragrafoelenco"/>
        <w:numPr>
          <w:ilvl w:val="0"/>
          <w:numId w:val="29"/>
        </w:numPr>
        <w:spacing w:after="200" w:line="360" w:lineRule="auto"/>
        <w:ind w:right="1133"/>
        <w:rPr>
          <w:bCs/>
          <w:sz w:val="20"/>
          <w:szCs w:val="20"/>
        </w:rPr>
      </w:pPr>
      <w:r w:rsidRPr="00566D06">
        <w:rPr>
          <w:bCs/>
          <w:sz w:val="20"/>
          <w:szCs w:val="20"/>
        </w:rPr>
        <w:t>spese per pubblicità del bando di gara;</w:t>
      </w:r>
    </w:p>
    <w:p w:rsidR="00A3551A" w:rsidRPr="00566D06" w:rsidRDefault="00A3551A" w:rsidP="00A3551A">
      <w:pPr>
        <w:widowControl/>
        <w:spacing w:after="200" w:line="360" w:lineRule="auto"/>
        <w:ind w:left="709" w:right="1133"/>
        <w:contextualSpacing/>
        <w:rPr>
          <w:bCs/>
          <w:sz w:val="20"/>
          <w:szCs w:val="20"/>
        </w:rPr>
      </w:pPr>
      <w:bookmarkStart w:id="2" w:name="_30j0zll" w:colFirst="0" w:colLast="0"/>
      <w:bookmarkEnd w:id="2"/>
      <w:r w:rsidRPr="00566D06">
        <w:rPr>
          <w:bCs/>
          <w:sz w:val="20"/>
          <w:szCs w:val="20"/>
        </w:rPr>
        <w:lastRenderedPageBreak/>
        <w:t>Eventuali maggiori oneri che si dovessero sostenere rispetto a quelli precedentemente indicati nel presente articolo saranno a carico del Beneficiario.</w:t>
      </w:r>
    </w:p>
    <w:p w:rsidR="00A3551A" w:rsidRPr="00566D06" w:rsidRDefault="00A3551A" w:rsidP="00A3551A">
      <w:pPr>
        <w:widowControl/>
        <w:spacing w:after="200" w:line="360" w:lineRule="auto"/>
        <w:ind w:left="708" w:right="1133"/>
        <w:contextualSpacing/>
        <w:rPr>
          <w:bCs/>
          <w:sz w:val="20"/>
          <w:szCs w:val="20"/>
        </w:rPr>
      </w:pPr>
      <w:r w:rsidRPr="00566D06">
        <w:rPr>
          <w:bCs/>
          <w:sz w:val="20"/>
          <w:szCs w:val="20"/>
        </w:rPr>
        <w:t>L’imposta sul valore aggiunto (IVA) è spesa ammissibile solo se realmente e definitivamente sostenuta dal Soggetto Beneficiario e solo se questa non sia recuperabile, nel rispetto della normativa nazionale di riferimento.</w:t>
      </w:r>
    </w:p>
    <w:p w:rsidR="00A3551A" w:rsidRPr="00566D06" w:rsidRDefault="00A3551A" w:rsidP="00A3551A">
      <w:pPr>
        <w:widowControl/>
        <w:spacing w:line="360" w:lineRule="auto"/>
        <w:ind w:left="708" w:right="1133"/>
        <w:contextualSpacing/>
        <w:rPr>
          <w:bCs/>
          <w:sz w:val="20"/>
          <w:szCs w:val="20"/>
        </w:rPr>
      </w:pPr>
      <w:r w:rsidRPr="00566D06">
        <w:rPr>
          <w:bCs/>
          <w:sz w:val="20"/>
          <w:szCs w:val="20"/>
        </w:rPr>
        <w:t xml:space="preserve">Per tutte le spese non specificate nel presente articolo o per la migliore specificazione di quelle indicate, si rinvia alle disposizioni di cui al Reg. (UE) n. 1303/2013 e ss.ii.mm., nonché al </w:t>
      </w:r>
      <w:r w:rsidRPr="00566D06">
        <w:rPr>
          <w:sz w:val="20"/>
          <w:szCs w:val="20"/>
        </w:rPr>
        <w:t>“</w:t>
      </w:r>
      <w:r w:rsidRPr="00566D06">
        <w:rPr>
          <w:i/>
          <w:sz w:val="20"/>
          <w:szCs w:val="20"/>
        </w:rPr>
        <w:t>Regolamento recante i criteri sull’ammissibilità delle spese per i programmi cofinanziati dai Fondi Strutturali di investimento europei (SIE) per il periodo di programmazione 2014/2020</w:t>
      </w:r>
      <w:r w:rsidRPr="00566D06">
        <w:rPr>
          <w:sz w:val="20"/>
          <w:szCs w:val="20"/>
        </w:rPr>
        <w:t xml:space="preserve">” di cui al D.P.R. n. 22 del 5 febbraio 2018 </w:t>
      </w:r>
      <w:r w:rsidRPr="00566D06">
        <w:rPr>
          <w:bCs/>
          <w:sz w:val="20"/>
          <w:szCs w:val="20"/>
        </w:rPr>
        <w:t>(ai sensi dell’articolo 65 e 67, paragrafo 1, del Reg. (UE) n. 1303/2013).</w:t>
      </w:r>
      <w:bookmarkEnd w:id="1"/>
    </w:p>
    <w:p w:rsidR="00864809" w:rsidRPr="00566D06" w:rsidRDefault="00864809" w:rsidP="00864809">
      <w:pPr>
        <w:widowControl/>
        <w:spacing w:after="200" w:line="360" w:lineRule="auto"/>
        <w:ind w:left="708" w:right="1133"/>
        <w:contextualSpacing/>
        <w:rPr>
          <w:bCs/>
          <w:sz w:val="20"/>
          <w:szCs w:val="20"/>
        </w:rPr>
      </w:pPr>
      <w:r w:rsidRPr="00566D06">
        <w:rPr>
          <w:bCs/>
          <w:sz w:val="20"/>
          <w:szCs w:val="20"/>
        </w:rPr>
        <w:t xml:space="preserve">Non sono ammissibili le spese per ammende, penali e controversie legali, nonché i maggiori oneri derivanti dalla risoluzione delle controversie sorte con l'impresa appaltatrice, compresi gli accordi bonari e gli interessi per ritardati pagamenti, </w:t>
      </w:r>
      <w:r w:rsidRPr="00566D06">
        <w:rPr>
          <w:b/>
          <w:bCs/>
          <w:sz w:val="20"/>
          <w:szCs w:val="20"/>
        </w:rPr>
        <w:t>nonché le spese</w:t>
      </w:r>
      <w:r w:rsidR="00064C39">
        <w:rPr>
          <w:b/>
          <w:bCs/>
          <w:sz w:val="20"/>
          <w:szCs w:val="20"/>
        </w:rPr>
        <w:t xml:space="preserve"> </w:t>
      </w:r>
      <w:r w:rsidRPr="00566D06">
        <w:rPr>
          <w:b/>
          <w:bCs/>
          <w:sz w:val="20"/>
          <w:szCs w:val="20"/>
        </w:rPr>
        <w:t>di funzionamento</w:t>
      </w:r>
      <w:r w:rsidR="00064C39">
        <w:rPr>
          <w:b/>
          <w:bCs/>
          <w:sz w:val="20"/>
          <w:szCs w:val="20"/>
        </w:rPr>
        <w:t xml:space="preserve"> </w:t>
      </w:r>
      <w:bookmarkStart w:id="3" w:name="_Hlk534985037"/>
      <w:r w:rsidR="00064C39" w:rsidRPr="00064C39">
        <w:rPr>
          <w:bCs/>
          <w:sz w:val="20"/>
          <w:szCs w:val="20"/>
        </w:rPr>
        <w:t xml:space="preserve">intese come </w:t>
      </w:r>
      <w:r w:rsidR="00064C39" w:rsidRPr="00064C39">
        <w:rPr>
          <w:bCs/>
          <w:sz w:val="20"/>
          <w:szCs w:val="20"/>
        </w:rPr>
        <w:t>spese correnti che includono, a titolo esemplificativo, i costi del personale, dei materiali, dell'energia, della manutenzione, di affitto, di amministrazione ecc.;</w:t>
      </w:r>
      <w:bookmarkEnd w:id="3"/>
    </w:p>
    <w:p w:rsidR="00864809" w:rsidRPr="00566D06" w:rsidRDefault="00864809" w:rsidP="00864809">
      <w:pPr>
        <w:widowControl/>
        <w:spacing w:after="200" w:line="360" w:lineRule="auto"/>
        <w:ind w:right="1133" w:firstLine="708"/>
        <w:contextualSpacing/>
        <w:rPr>
          <w:sz w:val="20"/>
          <w:szCs w:val="20"/>
        </w:rPr>
      </w:pPr>
      <w:r w:rsidRPr="00566D06">
        <w:rPr>
          <w:bCs/>
          <w:sz w:val="20"/>
          <w:szCs w:val="20"/>
        </w:rPr>
        <w:t xml:space="preserve">Non sono, altresì, ammissibili al contributo </w:t>
      </w:r>
      <w:r w:rsidRPr="00566D06">
        <w:rPr>
          <w:sz w:val="20"/>
          <w:szCs w:val="20"/>
        </w:rPr>
        <w:t>le spese: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non direttamente imputabili agli interventi oggetto di finanziamento;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 xml:space="preserve">riferite a beni di cui il beneficiario non abbia la disponibilità per un periodo di durata almeno sino al quinto anno successivo alla data di conclusione dell’intervento finanziato; 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IVA, se recuperabile a norma della legislazione nazionale vigente;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bookmarkStart w:id="4" w:name="_3znysh7" w:colFirst="0" w:colLast="0"/>
      <w:bookmarkEnd w:id="4"/>
      <w:r w:rsidRPr="00566D06">
        <w:rPr>
          <w:sz w:val="20"/>
          <w:szCs w:val="20"/>
        </w:rPr>
        <w:t>notarili e quelle relative a imposte e tasse;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relative all’acquisto della proprietà o di altro diritto reale di godimento su beni immobili;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spesa per l’acquisizione di diritti personali di godimento su beni immobili;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spese di manutenzione ordinaria</w:t>
      </w:r>
      <w:r w:rsidR="00AB7969">
        <w:rPr>
          <w:sz w:val="20"/>
          <w:szCs w:val="20"/>
        </w:rPr>
        <w:t xml:space="preserve"> e straordinaria per l’effettua</w:t>
      </w:r>
      <w:r w:rsidR="00AB7969" w:rsidRPr="00566D06">
        <w:rPr>
          <w:sz w:val="20"/>
          <w:szCs w:val="20"/>
        </w:rPr>
        <w:t>z</w:t>
      </w:r>
      <w:r w:rsidR="00AB7969">
        <w:rPr>
          <w:sz w:val="20"/>
          <w:szCs w:val="20"/>
        </w:rPr>
        <w:t>ione di lavori</w:t>
      </w:r>
      <w:r w:rsidRPr="00566D06">
        <w:rPr>
          <w:sz w:val="20"/>
          <w:szCs w:val="20"/>
        </w:rPr>
        <w:t>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relative all’acquisto stampe e periodici;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relative all’acquisto di macchinari ed attrezzature usati;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regolate in contanti o per compensazione;</w:t>
      </w:r>
    </w:p>
    <w:p w:rsidR="00864809" w:rsidRPr="00906C08" w:rsidRDefault="00864809" w:rsidP="00906C08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di pura sostituzione;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sostenute in leasing;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>relative ad interessi passivi;</w:t>
      </w:r>
    </w:p>
    <w:p w:rsidR="00864809" w:rsidRPr="00C472F4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sz w:val="20"/>
          <w:szCs w:val="20"/>
        </w:rPr>
        <w:t xml:space="preserve">relative ad </w:t>
      </w:r>
      <w:r w:rsidRPr="00C472F4">
        <w:rPr>
          <w:sz w:val="20"/>
          <w:szCs w:val="20"/>
        </w:rPr>
        <w:t>attività di intermediazione;</w:t>
      </w:r>
    </w:p>
    <w:p w:rsidR="00864809" w:rsidRPr="00C472F4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C472F4">
        <w:rPr>
          <w:sz w:val="20"/>
          <w:szCs w:val="20"/>
        </w:rPr>
        <w:t>quelle già oggetto di altro finanziamento;</w:t>
      </w:r>
    </w:p>
    <w:p w:rsidR="00864809" w:rsidRPr="00C472F4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C472F4">
        <w:rPr>
          <w:sz w:val="20"/>
          <w:szCs w:val="20"/>
        </w:rPr>
        <w:t>le spese di cui all’articolo 149</w:t>
      </w:r>
      <w:r w:rsidR="00C472F4" w:rsidRPr="00C472F4">
        <w:rPr>
          <w:sz w:val="20"/>
          <w:szCs w:val="20"/>
        </w:rPr>
        <w:t xml:space="preserve"> </w:t>
      </w:r>
      <w:r w:rsidRPr="00C472F4">
        <w:rPr>
          <w:sz w:val="20"/>
          <w:szCs w:val="20"/>
        </w:rPr>
        <w:t xml:space="preserve">del D. </w:t>
      </w:r>
      <w:proofErr w:type="spellStart"/>
      <w:r w:rsidRPr="00C472F4">
        <w:rPr>
          <w:sz w:val="20"/>
          <w:szCs w:val="20"/>
        </w:rPr>
        <w:t>Lgs</w:t>
      </w:r>
      <w:proofErr w:type="spellEnd"/>
      <w:r w:rsidRPr="00C472F4">
        <w:rPr>
          <w:sz w:val="20"/>
          <w:szCs w:val="20"/>
        </w:rPr>
        <w:t>. n. 50/2016;</w:t>
      </w:r>
    </w:p>
    <w:p w:rsidR="00864809" w:rsidRPr="00566D06" w:rsidRDefault="00864809" w:rsidP="00864809">
      <w:pPr>
        <w:widowControl/>
        <w:numPr>
          <w:ilvl w:val="0"/>
          <w:numId w:val="31"/>
        </w:numPr>
        <w:spacing w:after="200" w:line="360" w:lineRule="auto"/>
        <w:ind w:right="1133"/>
        <w:contextualSpacing/>
        <w:rPr>
          <w:sz w:val="20"/>
          <w:szCs w:val="20"/>
        </w:rPr>
      </w:pPr>
      <w:r w:rsidRPr="00566D06">
        <w:rPr>
          <w:rFonts w:eastAsia="Cambria"/>
          <w:sz w:val="20"/>
        </w:rPr>
        <w:lastRenderedPageBreak/>
        <w:t>spese tecniche di progettazione dei lavori.</w:t>
      </w:r>
    </w:p>
    <w:p w:rsidR="00B31FEF" w:rsidRPr="00566D06" w:rsidRDefault="00E348A8">
      <w:pPr>
        <w:pStyle w:val="Normale2"/>
        <w:ind w:right="1135"/>
        <w:jc w:val="center"/>
        <w:rPr>
          <w:b/>
        </w:rPr>
      </w:pPr>
      <w:r w:rsidRPr="00566D06">
        <w:rPr>
          <w:b/>
        </w:rPr>
        <w:t>Art. 7 – Modalità di erogazione del contributo finanziario</w:t>
      </w:r>
    </w:p>
    <w:p w:rsidR="00E348A8" w:rsidRPr="00566D06" w:rsidRDefault="00E348A8" w:rsidP="00E348A8">
      <w:pPr>
        <w:pStyle w:val="Normale2"/>
        <w:ind w:right="1135"/>
      </w:pPr>
    </w:p>
    <w:p w:rsidR="00FD38B9" w:rsidRPr="00566D06" w:rsidRDefault="00864809" w:rsidP="00FD38B9">
      <w:pPr>
        <w:pStyle w:val="Normale2"/>
        <w:numPr>
          <w:ilvl w:val="0"/>
          <w:numId w:val="39"/>
        </w:numPr>
        <w:ind w:right="1133"/>
      </w:pPr>
      <w:r w:rsidRPr="00566D06">
        <w:t>L'erogaz</w:t>
      </w:r>
      <w:r w:rsidR="001D4385" w:rsidRPr="00566D06">
        <w:t>ione del contributo finanziario</w:t>
      </w:r>
      <w:r w:rsidRPr="00566D06">
        <w:t xml:space="preserve">, di cui all’art. 5 </w:t>
      </w:r>
      <w:r w:rsidR="001D4385" w:rsidRPr="00566D06">
        <w:t xml:space="preserve">comma 1 </w:t>
      </w:r>
      <w:r w:rsidRPr="00566D06">
        <w:t>del presente disciplinare, avverrà con le seguenti modalità:</w:t>
      </w:r>
      <w:r w:rsidR="009009E0" w:rsidRPr="00566D06">
        <w:t xml:space="preserve"> </w:t>
      </w:r>
    </w:p>
    <w:p w:rsidR="00864809" w:rsidRPr="00566D06" w:rsidRDefault="00613E4D" w:rsidP="00FD38B9">
      <w:pPr>
        <w:pStyle w:val="Paragrafoelenco"/>
        <w:widowControl/>
        <w:numPr>
          <w:ilvl w:val="0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e</w:t>
      </w:r>
      <w:r w:rsidR="00864809" w:rsidRPr="00566D06">
        <w:rPr>
          <w:rFonts w:cs="Arial"/>
          <w:sz w:val="20"/>
          <w:szCs w:val="20"/>
        </w:rPr>
        <w:t xml:space="preserve">rogazione pari al 95% del contributo finanziario </w:t>
      </w:r>
      <w:r w:rsidR="001D4385" w:rsidRPr="00566D06">
        <w:rPr>
          <w:rFonts w:cs="Arial"/>
          <w:sz w:val="20"/>
          <w:szCs w:val="20"/>
        </w:rPr>
        <w:t>provvisorio corrispondente all’importo ammesso a finanziamento</w:t>
      </w:r>
      <w:r w:rsidR="00864809" w:rsidRPr="00566D06">
        <w:rPr>
          <w:rFonts w:cs="Arial"/>
          <w:sz w:val="20"/>
          <w:szCs w:val="20"/>
        </w:rPr>
        <w:t xml:space="preserve">, </w:t>
      </w:r>
      <w:r w:rsidR="00A27F4B" w:rsidRPr="00566D06">
        <w:rPr>
          <w:rFonts w:cs="Arial"/>
          <w:sz w:val="20"/>
          <w:szCs w:val="20"/>
        </w:rPr>
        <w:t>a seguito di sottoscrizione del presente Disciplinare</w:t>
      </w:r>
      <w:r w:rsidR="001753CD" w:rsidRPr="00566D06">
        <w:rPr>
          <w:rFonts w:cs="Arial"/>
          <w:sz w:val="20"/>
          <w:szCs w:val="20"/>
        </w:rPr>
        <w:t xml:space="preserve"> e</w:t>
      </w:r>
      <w:r w:rsidR="00A27F4B" w:rsidRPr="00566D06">
        <w:rPr>
          <w:rFonts w:cs="Arial"/>
          <w:sz w:val="20"/>
          <w:szCs w:val="20"/>
        </w:rPr>
        <w:t xml:space="preserve"> dell’assolvimento da parte del beneficiario, degli adempimenti di cui all’art. </w:t>
      </w:r>
      <w:r w:rsidR="001753CD" w:rsidRPr="00566D06">
        <w:rPr>
          <w:rFonts w:cs="Arial"/>
          <w:sz w:val="20"/>
          <w:szCs w:val="20"/>
        </w:rPr>
        <w:t>2</w:t>
      </w:r>
      <w:r w:rsidR="00FD38B9" w:rsidRPr="00566D06">
        <w:rPr>
          <w:rFonts w:cs="Arial"/>
          <w:sz w:val="20"/>
          <w:szCs w:val="20"/>
        </w:rPr>
        <w:t>;</w:t>
      </w:r>
    </w:p>
    <w:p w:rsidR="00EC240C" w:rsidRPr="00566D06" w:rsidRDefault="00FD38B9" w:rsidP="00EC240C">
      <w:pPr>
        <w:pStyle w:val="Paragrafoelenco"/>
        <w:widowControl/>
        <w:numPr>
          <w:ilvl w:val="0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a</w:t>
      </w:r>
      <w:r w:rsidR="004711D8" w:rsidRPr="00566D06">
        <w:rPr>
          <w:rFonts w:cs="Arial"/>
          <w:sz w:val="20"/>
          <w:szCs w:val="20"/>
        </w:rPr>
        <w:t xml:space="preserve"> seguito della liquidazione del primo acconto</w:t>
      </w:r>
      <w:r w:rsidR="004579E2" w:rsidRPr="00566D06">
        <w:rPr>
          <w:rFonts w:cs="Arial"/>
          <w:sz w:val="20"/>
          <w:szCs w:val="20"/>
        </w:rPr>
        <w:t>, il RUP dovrà tras</w:t>
      </w:r>
      <w:r w:rsidR="00613E4D" w:rsidRPr="00566D06">
        <w:rPr>
          <w:rFonts w:cs="Arial"/>
          <w:sz w:val="20"/>
          <w:szCs w:val="20"/>
        </w:rPr>
        <w:t>ferire</w:t>
      </w:r>
      <w:r w:rsidR="006B1465" w:rsidRPr="00566D06">
        <w:rPr>
          <w:rFonts w:cs="Arial"/>
          <w:sz w:val="20"/>
          <w:szCs w:val="20"/>
        </w:rPr>
        <w:t xml:space="preserve"> </w:t>
      </w:r>
      <w:r w:rsidR="00C81837" w:rsidRPr="00566D06">
        <w:rPr>
          <w:rFonts w:cs="Arial"/>
          <w:sz w:val="20"/>
          <w:szCs w:val="20"/>
        </w:rPr>
        <w:t>sul sistema di monitoraggio MIRWEB</w:t>
      </w:r>
      <w:r w:rsidR="00613E4D" w:rsidRPr="00566D06">
        <w:rPr>
          <w:rFonts w:cs="Arial"/>
          <w:sz w:val="20"/>
          <w:szCs w:val="20"/>
        </w:rPr>
        <w:t xml:space="preserve"> 2014-2020</w:t>
      </w:r>
      <w:r w:rsidR="002210EE" w:rsidRPr="00566D06">
        <w:rPr>
          <w:rFonts w:cs="Arial"/>
          <w:sz w:val="20"/>
          <w:szCs w:val="20"/>
        </w:rPr>
        <w:t xml:space="preserve"> la seguente documentazione</w:t>
      </w:r>
      <w:r w:rsidR="00C81837" w:rsidRPr="00566D06">
        <w:rPr>
          <w:rFonts w:cs="Arial"/>
          <w:sz w:val="20"/>
          <w:szCs w:val="20"/>
        </w:rPr>
        <w:t xml:space="preserve">, </w:t>
      </w:r>
      <w:r w:rsidR="00613E4D" w:rsidRPr="00566D06">
        <w:rPr>
          <w:rFonts w:cs="Arial"/>
          <w:sz w:val="20"/>
          <w:szCs w:val="20"/>
        </w:rPr>
        <w:t xml:space="preserve">dandone contestuale comunicazione </w:t>
      </w:r>
      <w:r w:rsidR="00B24DF7" w:rsidRPr="00566D06">
        <w:rPr>
          <w:rFonts w:cs="Arial"/>
          <w:sz w:val="20"/>
          <w:szCs w:val="20"/>
        </w:rPr>
        <w:t xml:space="preserve">di quanto trasferito </w:t>
      </w:r>
      <w:r w:rsidR="00613E4D" w:rsidRPr="00566D06">
        <w:rPr>
          <w:rFonts w:cs="Arial"/>
          <w:sz w:val="20"/>
          <w:szCs w:val="20"/>
        </w:rPr>
        <w:t xml:space="preserve">a mezzo </w:t>
      </w:r>
      <w:proofErr w:type="spellStart"/>
      <w:r w:rsidR="00613E4D" w:rsidRPr="00566D06">
        <w:rPr>
          <w:rFonts w:cs="Arial"/>
          <w:sz w:val="20"/>
          <w:szCs w:val="20"/>
        </w:rPr>
        <w:t>pec</w:t>
      </w:r>
      <w:proofErr w:type="spellEnd"/>
      <w:r w:rsidR="00613E4D" w:rsidRPr="00566D06">
        <w:rPr>
          <w:rFonts w:cs="Arial"/>
          <w:sz w:val="20"/>
          <w:szCs w:val="20"/>
        </w:rPr>
        <w:t xml:space="preserve"> all’indirizzo </w:t>
      </w:r>
      <w:hyperlink r:id="rId10" w:history="1">
        <w:r w:rsidR="00D13FAA" w:rsidRPr="00566D06">
          <w:rPr>
            <w:rStyle w:val="Collegamentoipertestuale"/>
            <w:rFonts w:cs="Arial"/>
            <w:sz w:val="20"/>
            <w:szCs w:val="20"/>
          </w:rPr>
          <w:t>valorizzazioneterritoriale.regione@pec.rupar.puglia.it</w:t>
        </w:r>
      </w:hyperlink>
      <w:r w:rsidR="00B24DF7" w:rsidRPr="00566D06">
        <w:rPr>
          <w:rFonts w:cs="Arial"/>
          <w:sz w:val="20"/>
          <w:szCs w:val="20"/>
        </w:rPr>
        <w:t xml:space="preserve"> </w:t>
      </w:r>
      <w:r w:rsidR="00433BF4" w:rsidRPr="00566D06">
        <w:rPr>
          <w:rFonts w:cs="Arial"/>
          <w:sz w:val="20"/>
          <w:szCs w:val="20"/>
        </w:rPr>
        <w:t>entro 10 gg. dalla data di avvio concreto delle attività</w:t>
      </w:r>
      <w:r w:rsidR="00B24DF7" w:rsidRPr="00566D06">
        <w:rPr>
          <w:rFonts w:cs="Arial"/>
          <w:sz w:val="20"/>
          <w:szCs w:val="20"/>
        </w:rPr>
        <w:t>,</w:t>
      </w:r>
      <w:r w:rsidR="00613E4D" w:rsidRPr="00566D06">
        <w:rPr>
          <w:rFonts w:cs="Arial"/>
          <w:sz w:val="20"/>
          <w:szCs w:val="20"/>
        </w:rPr>
        <w:t xml:space="preserve"> </w:t>
      </w:r>
      <w:r w:rsidR="00C81837" w:rsidRPr="00566D06">
        <w:rPr>
          <w:rFonts w:cs="Arial"/>
          <w:sz w:val="20"/>
          <w:szCs w:val="20"/>
        </w:rPr>
        <w:t xml:space="preserve">in particolare nella sezione anagrafica </w:t>
      </w:r>
      <w:r w:rsidR="00613E4D" w:rsidRPr="00566D06">
        <w:rPr>
          <w:rFonts w:cs="Arial"/>
          <w:sz w:val="20"/>
          <w:szCs w:val="20"/>
        </w:rPr>
        <w:t>dedicata</w:t>
      </w:r>
      <w:r w:rsidR="00C81837" w:rsidRPr="00566D06">
        <w:rPr>
          <w:rFonts w:cs="Arial"/>
          <w:sz w:val="20"/>
          <w:szCs w:val="20"/>
        </w:rPr>
        <w:t xml:space="preserve"> all’intervento di che trattasi</w:t>
      </w:r>
      <w:r w:rsidR="00613E4D" w:rsidRPr="00566D06">
        <w:rPr>
          <w:rFonts w:cs="Arial"/>
          <w:sz w:val="20"/>
          <w:szCs w:val="20"/>
        </w:rPr>
        <w:t>:</w:t>
      </w:r>
    </w:p>
    <w:p w:rsidR="00EC240C" w:rsidRPr="00566D06" w:rsidRDefault="00EC240C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sz w:val="20"/>
          <w:szCs w:val="20"/>
        </w:rPr>
        <w:t>scheda informativa debitamente compilata;</w:t>
      </w:r>
    </w:p>
    <w:p w:rsidR="000C53A3" w:rsidRPr="00566D06" w:rsidRDefault="000C53A3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documentazione prevista dall’art. 2 comma 3 del presente Disciplinare;</w:t>
      </w:r>
    </w:p>
    <w:p w:rsidR="000C53A3" w:rsidRPr="00566D06" w:rsidRDefault="000C53A3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documentazione di progetto;</w:t>
      </w:r>
    </w:p>
    <w:p w:rsidR="006A47C6" w:rsidRPr="00566D06" w:rsidRDefault="002210EE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 xml:space="preserve">documentazione </w:t>
      </w:r>
      <w:r w:rsidR="000C53A3" w:rsidRPr="00566D06">
        <w:rPr>
          <w:rFonts w:cs="Arial"/>
          <w:sz w:val="20"/>
          <w:szCs w:val="20"/>
        </w:rPr>
        <w:t>presentat</w:t>
      </w:r>
      <w:r w:rsidRPr="00566D06">
        <w:rPr>
          <w:rFonts w:cs="Arial"/>
          <w:sz w:val="20"/>
          <w:szCs w:val="20"/>
        </w:rPr>
        <w:t xml:space="preserve">a in sede </w:t>
      </w:r>
      <w:r w:rsidR="004579E2" w:rsidRPr="00566D06">
        <w:rPr>
          <w:rFonts w:cs="Arial"/>
          <w:sz w:val="20"/>
          <w:szCs w:val="20"/>
        </w:rPr>
        <w:t>dell’avvio della procedura per l’affidamento/acquisizione dei lavori/servizi/forniture, nel rispetto delle vigenti normative in materia di appalti pubblici</w:t>
      </w:r>
      <w:r w:rsidRPr="00566D06">
        <w:rPr>
          <w:rFonts w:cs="Arial"/>
          <w:sz w:val="20"/>
          <w:szCs w:val="20"/>
        </w:rPr>
        <w:t>;</w:t>
      </w:r>
    </w:p>
    <w:p w:rsidR="00864809" w:rsidRPr="00566D06" w:rsidRDefault="000C53A3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p</w:t>
      </w:r>
      <w:r w:rsidR="00864809" w:rsidRPr="00566D06">
        <w:rPr>
          <w:rFonts w:cs="Arial"/>
          <w:sz w:val="20"/>
          <w:szCs w:val="20"/>
        </w:rPr>
        <w:t xml:space="preserve">rovvedimento di approvazione del progetto esecutivo - comprensivo di pareri e/o autorizzazioni - con allegato il quadro economico </w:t>
      </w:r>
      <w:proofErr w:type="spellStart"/>
      <w:r w:rsidR="00864809" w:rsidRPr="00566D06">
        <w:rPr>
          <w:rFonts w:cs="Arial"/>
          <w:sz w:val="20"/>
          <w:szCs w:val="20"/>
        </w:rPr>
        <w:t>pre</w:t>
      </w:r>
      <w:proofErr w:type="spellEnd"/>
      <w:r w:rsidR="00864809" w:rsidRPr="00566D06">
        <w:rPr>
          <w:rFonts w:cs="Arial"/>
          <w:sz w:val="20"/>
          <w:szCs w:val="20"/>
        </w:rPr>
        <w:t>-gara con indicazione delle specifiche voci di spesa imputate sul POR Puglia 2014/2020 – Azione 6.7 e di quelle a valere sulla eventuale quota di cofinanziamento dell’ente beneficiario;</w:t>
      </w:r>
    </w:p>
    <w:p w:rsidR="00864809" w:rsidRPr="00566D06" w:rsidRDefault="000C53A3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p</w:t>
      </w:r>
      <w:r w:rsidR="00864809" w:rsidRPr="00566D06">
        <w:rPr>
          <w:rFonts w:cs="Arial"/>
          <w:sz w:val="20"/>
          <w:szCs w:val="20"/>
        </w:rPr>
        <w:t>rovvedimenti di approvazione della gara di appalto, indizione, bando, capitolato di gara, lettera di invito, eventuale nomina della Commissione;</w:t>
      </w:r>
    </w:p>
    <w:p w:rsidR="00864809" w:rsidRPr="00566D06" w:rsidRDefault="000C53A3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v</w:t>
      </w:r>
      <w:r w:rsidR="00864809" w:rsidRPr="00566D06">
        <w:rPr>
          <w:rFonts w:cs="Arial"/>
          <w:sz w:val="20"/>
          <w:szCs w:val="20"/>
        </w:rPr>
        <w:t>erbali di gara e provvedimenti di aggiudicazione provvisoria e definitiva;</w:t>
      </w:r>
    </w:p>
    <w:p w:rsidR="00864809" w:rsidRPr="00566D06" w:rsidRDefault="00C647A5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d</w:t>
      </w:r>
      <w:r w:rsidR="00864809" w:rsidRPr="00566D06">
        <w:rPr>
          <w:rFonts w:cs="Arial"/>
          <w:sz w:val="20"/>
          <w:szCs w:val="20"/>
        </w:rPr>
        <w:t xml:space="preserve">ocumentazione probante l’adempimento degli obblighi previsti dal </w:t>
      </w:r>
      <w:proofErr w:type="spellStart"/>
      <w:r w:rsidR="00864809" w:rsidRPr="00566D06">
        <w:rPr>
          <w:rFonts w:cs="Arial"/>
          <w:sz w:val="20"/>
          <w:szCs w:val="20"/>
        </w:rPr>
        <w:t>D.Lgs.</w:t>
      </w:r>
      <w:proofErr w:type="spellEnd"/>
      <w:r w:rsidR="00864809" w:rsidRPr="00566D06">
        <w:rPr>
          <w:rFonts w:cs="Arial"/>
          <w:sz w:val="20"/>
          <w:szCs w:val="20"/>
        </w:rPr>
        <w:t xml:space="preserve"> 50/2016 in materia di pubblicità delle procedure di gara e dei relativi esiti (pubblicazione dell’avviso e degli esisti su Gazzetta Ufficiale, per estratto sulla stampa nazionale/locale, all’Albo Pretorio o sul profilo internet del Comune beneficiario, copia del protocollo “in entrata” delle candidature, ecc.);</w:t>
      </w:r>
    </w:p>
    <w:p w:rsidR="00864809" w:rsidRPr="00566D06" w:rsidRDefault="000C53A3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c</w:t>
      </w:r>
      <w:r w:rsidR="00864809" w:rsidRPr="00566D06">
        <w:rPr>
          <w:rFonts w:cs="Arial"/>
          <w:sz w:val="20"/>
          <w:szCs w:val="20"/>
        </w:rPr>
        <w:t>ontratto di appalto debitamente registrato</w:t>
      </w:r>
      <w:r w:rsidRPr="00566D06">
        <w:rPr>
          <w:rFonts w:cs="Arial"/>
          <w:sz w:val="20"/>
          <w:szCs w:val="20"/>
        </w:rPr>
        <w:t xml:space="preserve"> ai fini fiscali</w:t>
      </w:r>
      <w:r w:rsidR="00864809" w:rsidRPr="00566D06">
        <w:rPr>
          <w:rFonts w:cs="Arial"/>
          <w:sz w:val="20"/>
          <w:szCs w:val="20"/>
        </w:rPr>
        <w:t>;</w:t>
      </w:r>
    </w:p>
    <w:p w:rsidR="00864809" w:rsidRPr="00566D06" w:rsidRDefault="000C53A3" w:rsidP="000C53A3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lastRenderedPageBreak/>
        <w:t>q</w:t>
      </w:r>
      <w:r w:rsidR="00864809" w:rsidRPr="00566D06">
        <w:rPr>
          <w:rFonts w:cs="Arial"/>
          <w:sz w:val="20"/>
          <w:szCs w:val="20"/>
        </w:rPr>
        <w:t>uadro economico rideterminato al netto dei ribassi in sede di gara con specifica indicazione delle voci di spesa imputate al Programma e di quelle a valere sulla quota di cofinanziamento dell’ente beneficiario, e con il relativo provvedimento di approvazione;</w:t>
      </w:r>
    </w:p>
    <w:p w:rsidR="00864809" w:rsidRPr="00566D06" w:rsidRDefault="00501F68" w:rsidP="00501F68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i</w:t>
      </w:r>
      <w:r w:rsidR="00864809" w:rsidRPr="00566D06">
        <w:rPr>
          <w:rFonts w:cs="Arial"/>
          <w:sz w:val="20"/>
          <w:szCs w:val="20"/>
        </w:rPr>
        <w:t>n caso di cofinanziamento, provvedimento di copertura finanziaria da parte del soggetto beneficiario;</w:t>
      </w:r>
    </w:p>
    <w:p w:rsidR="00864809" w:rsidRPr="00566D06" w:rsidRDefault="00501F68" w:rsidP="00501F68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d</w:t>
      </w:r>
      <w:r w:rsidR="00864809" w:rsidRPr="00566D06">
        <w:rPr>
          <w:rFonts w:cs="Arial"/>
          <w:sz w:val="20"/>
          <w:szCs w:val="20"/>
        </w:rPr>
        <w:t>ichiarazione RUP attestante:</w:t>
      </w:r>
    </w:p>
    <w:p w:rsidR="00864809" w:rsidRPr="00566D06" w:rsidRDefault="00864809" w:rsidP="00501F68">
      <w:pPr>
        <w:pStyle w:val="Paragrafoelenco"/>
        <w:widowControl/>
        <w:numPr>
          <w:ilvl w:val="1"/>
          <w:numId w:val="37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che è stato adottato un sistema di contabilità separato nella gestione delle somme trasferite a titolo di finanziamento, al fine di assolvere agli obblighi imposti sulla tracciabilità finanziaria;</w:t>
      </w:r>
    </w:p>
    <w:p w:rsidR="00864809" w:rsidRPr="00566D06" w:rsidRDefault="00864809" w:rsidP="00501F68">
      <w:pPr>
        <w:pStyle w:val="Paragrafoelenco"/>
        <w:widowControl/>
        <w:numPr>
          <w:ilvl w:val="1"/>
          <w:numId w:val="37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se per l’intervento in questione ricorre o meno l’applicazione della L.R. n. 11/2001;</w:t>
      </w:r>
    </w:p>
    <w:p w:rsidR="00864809" w:rsidRPr="00566D06" w:rsidRDefault="00501F68" w:rsidP="00501F68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v</w:t>
      </w:r>
      <w:r w:rsidR="00864809" w:rsidRPr="00566D06">
        <w:rPr>
          <w:rFonts w:cs="Arial"/>
          <w:sz w:val="20"/>
          <w:szCs w:val="20"/>
        </w:rPr>
        <w:t>erbale di consegna dei lavori e</w:t>
      </w:r>
      <w:r w:rsidRPr="00566D06">
        <w:rPr>
          <w:rFonts w:cs="Arial"/>
          <w:sz w:val="20"/>
          <w:szCs w:val="20"/>
        </w:rPr>
        <w:t>d</w:t>
      </w:r>
      <w:r w:rsidR="00864809" w:rsidRPr="00566D06">
        <w:rPr>
          <w:rFonts w:cs="Arial"/>
          <w:sz w:val="20"/>
          <w:szCs w:val="20"/>
        </w:rPr>
        <w:t xml:space="preserve"> attestazione di avvenuto concreto inizio;</w:t>
      </w:r>
    </w:p>
    <w:p w:rsidR="00864809" w:rsidRPr="00566D06" w:rsidRDefault="00501F68" w:rsidP="00501F68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schede SIMOG relative a tutti i</w:t>
      </w:r>
      <w:r w:rsidR="00864809" w:rsidRPr="00566D06">
        <w:rPr>
          <w:rFonts w:cs="Arial"/>
          <w:sz w:val="20"/>
          <w:szCs w:val="20"/>
        </w:rPr>
        <w:t xml:space="preserve"> C</w:t>
      </w:r>
      <w:r w:rsidRPr="00566D06">
        <w:rPr>
          <w:rFonts w:cs="Arial"/>
          <w:sz w:val="20"/>
          <w:szCs w:val="20"/>
        </w:rPr>
        <w:t>IG</w:t>
      </w:r>
      <w:r w:rsidR="00864809" w:rsidRPr="00566D06">
        <w:rPr>
          <w:rFonts w:cs="Arial"/>
          <w:sz w:val="20"/>
          <w:szCs w:val="20"/>
        </w:rPr>
        <w:t xml:space="preserve"> associat</w:t>
      </w:r>
      <w:r w:rsidRPr="00566D06">
        <w:rPr>
          <w:rFonts w:cs="Arial"/>
          <w:sz w:val="20"/>
          <w:szCs w:val="20"/>
        </w:rPr>
        <w:t>i</w:t>
      </w:r>
      <w:r w:rsidR="00864809" w:rsidRPr="00566D06">
        <w:rPr>
          <w:rFonts w:cs="Arial"/>
          <w:sz w:val="20"/>
          <w:szCs w:val="20"/>
        </w:rPr>
        <w:t xml:space="preserve"> al Codice Operazione dell’intervento;</w:t>
      </w:r>
    </w:p>
    <w:p w:rsidR="00864809" w:rsidRPr="00566D06" w:rsidRDefault="00501F68" w:rsidP="00501F68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d</w:t>
      </w:r>
      <w:r w:rsidR="00864809" w:rsidRPr="00566D06">
        <w:rPr>
          <w:rFonts w:cs="Arial"/>
          <w:sz w:val="20"/>
          <w:szCs w:val="20"/>
        </w:rPr>
        <w:t xml:space="preserve">ocumentazione fotografica attestante il rispetto degli adempimenti pubblicitari previsti dai Regolamento comunitari; </w:t>
      </w:r>
    </w:p>
    <w:p w:rsidR="00864809" w:rsidRPr="00566D06" w:rsidRDefault="00501F68" w:rsidP="00501F68">
      <w:pPr>
        <w:pStyle w:val="Paragrafoelenco"/>
        <w:widowControl/>
        <w:numPr>
          <w:ilvl w:val="1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 xml:space="preserve">rendicontazione generata sul sistema di monitoraggio informativo telematico (MIRWEB) a seguito di trasferimento dei dati finanziari, fisici e </w:t>
      </w:r>
      <w:proofErr w:type="gramStart"/>
      <w:r w:rsidRPr="00566D06">
        <w:rPr>
          <w:rFonts w:cs="Arial"/>
          <w:sz w:val="20"/>
          <w:szCs w:val="20"/>
        </w:rPr>
        <w:t>procedurali,  nonché</w:t>
      </w:r>
      <w:proofErr w:type="gramEnd"/>
      <w:r w:rsidRPr="00566D06">
        <w:rPr>
          <w:rFonts w:cs="Arial"/>
          <w:sz w:val="20"/>
          <w:szCs w:val="20"/>
        </w:rPr>
        <w:t xml:space="preserve"> degli atti tecnico, amministrativi e contabili.</w:t>
      </w:r>
      <w:r w:rsidR="00864809" w:rsidRPr="00566D06">
        <w:rPr>
          <w:rFonts w:cs="Arial"/>
          <w:sz w:val="20"/>
          <w:szCs w:val="20"/>
        </w:rPr>
        <w:t xml:space="preserve"> </w:t>
      </w:r>
    </w:p>
    <w:p w:rsidR="00EC240C" w:rsidRPr="00566D06" w:rsidRDefault="009009E0" w:rsidP="00906C08">
      <w:pPr>
        <w:pStyle w:val="Paragrafoelenco"/>
        <w:widowControl/>
        <w:numPr>
          <w:ilvl w:val="0"/>
          <w:numId w:val="36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e</w:t>
      </w:r>
      <w:r w:rsidR="00864809" w:rsidRPr="00566D06">
        <w:rPr>
          <w:rFonts w:cs="Arial"/>
          <w:sz w:val="20"/>
          <w:szCs w:val="20"/>
        </w:rPr>
        <w:t>rogazione finale nell'ambito del residuo 5% del contributo finanziario definitivo rideterminato, previa trasmissione da parte del RUP della seguente</w:t>
      </w:r>
      <w:r w:rsidR="00906C08">
        <w:rPr>
          <w:rFonts w:cs="Arial"/>
          <w:sz w:val="20"/>
          <w:szCs w:val="20"/>
        </w:rPr>
        <w:t xml:space="preserve"> </w:t>
      </w:r>
      <w:r w:rsidR="00864809" w:rsidRPr="00566D06">
        <w:rPr>
          <w:rFonts w:cs="Arial"/>
          <w:sz w:val="20"/>
          <w:szCs w:val="20"/>
        </w:rPr>
        <w:t>documentazione:</w:t>
      </w:r>
    </w:p>
    <w:p w:rsidR="00EC240C" w:rsidRPr="00566D06" w:rsidRDefault="00EC240C" w:rsidP="00EC240C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scheda informativa debitamente compilata;</w:t>
      </w:r>
    </w:p>
    <w:p w:rsidR="00864809" w:rsidRPr="00566D06" w:rsidRDefault="00C647A5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d</w:t>
      </w:r>
      <w:r w:rsidR="00864809" w:rsidRPr="00566D06">
        <w:rPr>
          <w:rFonts w:cs="Arial"/>
          <w:sz w:val="20"/>
          <w:szCs w:val="20"/>
        </w:rPr>
        <w:t>omanda di pagamento finale;</w:t>
      </w:r>
    </w:p>
    <w:p w:rsidR="000344B4" w:rsidRPr="00566D06" w:rsidRDefault="00C647A5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c</w:t>
      </w:r>
      <w:r w:rsidR="000344B4" w:rsidRPr="00566D06">
        <w:rPr>
          <w:rFonts w:cs="Arial"/>
          <w:sz w:val="20"/>
          <w:szCs w:val="20"/>
        </w:rPr>
        <w:t>ertificato di ultimazione lavori/forniture/servizi;</w:t>
      </w:r>
    </w:p>
    <w:p w:rsidR="00864809" w:rsidRPr="00566D06" w:rsidRDefault="00C647A5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r</w:t>
      </w:r>
      <w:r w:rsidR="00864809" w:rsidRPr="00566D06">
        <w:rPr>
          <w:rFonts w:cs="Arial"/>
          <w:sz w:val="20"/>
          <w:szCs w:val="20"/>
        </w:rPr>
        <w:t xml:space="preserve">elazione </w:t>
      </w:r>
      <w:r w:rsidR="00FD38B9" w:rsidRPr="00566D06">
        <w:rPr>
          <w:rFonts w:cs="Arial"/>
          <w:sz w:val="20"/>
          <w:szCs w:val="20"/>
        </w:rPr>
        <w:t>sul conto finale</w:t>
      </w:r>
      <w:r w:rsidR="00864809" w:rsidRPr="00566D06">
        <w:rPr>
          <w:rFonts w:cs="Arial"/>
          <w:sz w:val="20"/>
          <w:szCs w:val="20"/>
        </w:rPr>
        <w:t>;</w:t>
      </w:r>
    </w:p>
    <w:p w:rsidR="00864809" w:rsidRPr="00566D06" w:rsidRDefault="00C647A5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s</w:t>
      </w:r>
      <w:r w:rsidR="00864809" w:rsidRPr="00566D06">
        <w:rPr>
          <w:rFonts w:cs="Arial"/>
          <w:sz w:val="20"/>
          <w:szCs w:val="20"/>
        </w:rPr>
        <w:t>tato di avanzamento lavori finale;</w:t>
      </w:r>
    </w:p>
    <w:p w:rsidR="00864809" w:rsidRPr="00566D06" w:rsidRDefault="00C647A5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a</w:t>
      </w:r>
      <w:r w:rsidR="00864809" w:rsidRPr="00566D06">
        <w:rPr>
          <w:rFonts w:cs="Arial"/>
          <w:sz w:val="20"/>
          <w:szCs w:val="20"/>
        </w:rPr>
        <w:t>pprovazione atti di contabilità finale;</w:t>
      </w:r>
    </w:p>
    <w:p w:rsidR="00864809" w:rsidRPr="00566D06" w:rsidRDefault="00C647A5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r</w:t>
      </w:r>
      <w:r w:rsidR="00864809" w:rsidRPr="00566D06">
        <w:rPr>
          <w:rFonts w:cs="Arial"/>
          <w:sz w:val="20"/>
          <w:szCs w:val="20"/>
        </w:rPr>
        <w:t>endiconto finale con il relativo provvedimento di approvazione;</w:t>
      </w:r>
    </w:p>
    <w:p w:rsidR="00864809" w:rsidRPr="00566D06" w:rsidRDefault="00C647A5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c</w:t>
      </w:r>
      <w:r w:rsidR="00864809" w:rsidRPr="00566D06">
        <w:rPr>
          <w:rFonts w:cs="Arial"/>
          <w:sz w:val="20"/>
          <w:szCs w:val="20"/>
        </w:rPr>
        <w:t>ertificato di collaudo statico, tecnico-amministrativo o certificato di regolare esecuzione con il relativo provvedimento di approvazione;</w:t>
      </w:r>
    </w:p>
    <w:p w:rsidR="00864809" w:rsidRPr="00566D06" w:rsidRDefault="00C647A5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p</w:t>
      </w:r>
      <w:r w:rsidR="00864809" w:rsidRPr="00566D06">
        <w:rPr>
          <w:rFonts w:cs="Arial"/>
          <w:sz w:val="20"/>
          <w:szCs w:val="20"/>
        </w:rPr>
        <w:t xml:space="preserve">rovvedimento di omologazione della spesa complessiva sostenuta per l'intervento, con indicazione puntuale delle specifiche voci - comprovate da relativa documentazione contabile (fatture, liquidazioni e mandati di pagamento) - imputate a carico della Regione e del beneficiario finale; </w:t>
      </w:r>
    </w:p>
    <w:p w:rsidR="00864809" w:rsidRPr="00566D06" w:rsidRDefault="00FD38B9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lastRenderedPageBreak/>
        <w:t>a</w:t>
      </w:r>
      <w:r w:rsidR="00864809" w:rsidRPr="00566D06">
        <w:rPr>
          <w:rFonts w:cs="Arial"/>
          <w:sz w:val="20"/>
          <w:szCs w:val="20"/>
        </w:rPr>
        <w:t xml:space="preserve">nticipazione a carico del Soggetto beneficiario del saldo finale pari al 5% del contributo finanziario </w:t>
      </w:r>
      <w:r w:rsidRPr="00566D06">
        <w:rPr>
          <w:rFonts w:cs="Arial"/>
          <w:sz w:val="20"/>
          <w:szCs w:val="20"/>
        </w:rPr>
        <w:t>provvisorio</w:t>
      </w:r>
      <w:r w:rsidR="00864809" w:rsidRPr="00566D06">
        <w:rPr>
          <w:rFonts w:cs="Arial"/>
          <w:sz w:val="20"/>
          <w:szCs w:val="20"/>
        </w:rPr>
        <w:t>, attestato da specifico mandato di pagamento debitamente quietanzato o bonifico bancario;</w:t>
      </w:r>
    </w:p>
    <w:p w:rsidR="00864809" w:rsidRPr="00566D06" w:rsidRDefault="00FD38B9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a</w:t>
      </w:r>
      <w:r w:rsidR="00864809" w:rsidRPr="00566D06">
        <w:rPr>
          <w:rFonts w:cs="Arial"/>
          <w:sz w:val="20"/>
          <w:szCs w:val="20"/>
        </w:rPr>
        <w:t>ggiornamento del sistema di monitoraggio informativo telematico (MIRWEB) relativo ai dati finanziari, fisici e procedurali, con registrazione dei pagamenti effettuati;</w:t>
      </w:r>
    </w:p>
    <w:p w:rsidR="00864809" w:rsidRPr="00566D06" w:rsidRDefault="00FD38B9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d</w:t>
      </w:r>
      <w:r w:rsidR="00864809" w:rsidRPr="00566D06">
        <w:rPr>
          <w:rFonts w:cs="Arial"/>
          <w:sz w:val="20"/>
          <w:szCs w:val="20"/>
        </w:rPr>
        <w:t>ocumentazione fotografica conforme alla normativa comunitaria (affissione targa informativa in merito all’intervento finanziato con i fondi del POR Puglia 2014/2020);</w:t>
      </w:r>
    </w:p>
    <w:p w:rsidR="00864809" w:rsidRPr="00566D06" w:rsidRDefault="00FD38B9" w:rsidP="00433BF4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d</w:t>
      </w:r>
      <w:r w:rsidR="00864809" w:rsidRPr="00566D06">
        <w:rPr>
          <w:rFonts w:cs="Arial"/>
          <w:sz w:val="20"/>
          <w:szCs w:val="20"/>
        </w:rPr>
        <w:t>ocumentazione fotografica attestante la realizzazione dell’intervento;</w:t>
      </w:r>
    </w:p>
    <w:p w:rsidR="00864809" w:rsidRPr="00566D06" w:rsidRDefault="00F22009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d</w:t>
      </w:r>
      <w:r w:rsidR="00864809" w:rsidRPr="00566D06">
        <w:rPr>
          <w:rFonts w:cs="Arial"/>
          <w:sz w:val="20"/>
          <w:szCs w:val="20"/>
        </w:rPr>
        <w:t xml:space="preserve">ichiarazione che l’IVA è una spesa ammissibile e non recuperabile dal soggetto beneficiario; </w:t>
      </w:r>
    </w:p>
    <w:p w:rsidR="00864809" w:rsidRPr="00566D06" w:rsidRDefault="00B13CA3" w:rsidP="00864809">
      <w:pPr>
        <w:widowControl/>
        <w:numPr>
          <w:ilvl w:val="0"/>
          <w:numId w:val="34"/>
        </w:numPr>
        <w:spacing w:after="0" w:line="360" w:lineRule="auto"/>
        <w:ind w:right="1133"/>
        <w:contextualSpacing/>
        <w:rPr>
          <w:rFonts w:cs="Arial"/>
          <w:sz w:val="20"/>
          <w:szCs w:val="20"/>
        </w:rPr>
      </w:pPr>
      <w:r w:rsidRPr="00566D06">
        <w:rPr>
          <w:rFonts w:cs="Arial"/>
          <w:sz w:val="20"/>
          <w:szCs w:val="20"/>
        </w:rPr>
        <w:t>p</w:t>
      </w:r>
      <w:r w:rsidR="00864809" w:rsidRPr="00566D06">
        <w:rPr>
          <w:rFonts w:cs="Arial"/>
          <w:sz w:val="20"/>
          <w:szCs w:val="20"/>
        </w:rPr>
        <w:t>resentazione della scheda di fruizione come da fac-simile fornito dalla Regione Puglia;</w:t>
      </w:r>
    </w:p>
    <w:p w:rsidR="00864809" w:rsidRPr="00566D06" w:rsidRDefault="00864809" w:rsidP="00864809">
      <w:pPr>
        <w:widowControl/>
        <w:spacing w:after="0" w:line="360" w:lineRule="auto"/>
        <w:ind w:right="1133"/>
        <w:contextualSpacing/>
        <w:rPr>
          <w:rFonts w:cs="Arial"/>
          <w:sz w:val="20"/>
          <w:szCs w:val="20"/>
        </w:rPr>
      </w:pPr>
    </w:p>
    <w:p w:rsidR="00864809" w:rsidRPr="00566D06" w:rsidRDefault="00864809" w:rsidP="00927FAE">
      <w:pPr>
        <w:pStyle w:val="Normale2"/>
        <w:numPr>
          <w:ilvl w:val="0"/>
          <w:numId w:val="40"/>
        </w:numPr>
        <w:ind w:right="1135"/>
      </w:pPr>
      <w:r w:rsidRPr="00566D06">
        <w:t xml:space="preserve">L’erogazione </w:t>
      </w:r>
      <w:r w:rsidR="00927FAE" w:rsidRPr="00566D06">
        <w:t xml:space="preserve">del saldo con il riconoscimento del contributo finanziario definitivo concesso, </w:t>
      </w:r>
      <w:r w:rsidRPr="00566D06">
        <w:t>resta subordinata alla rendicontazione delle spese effettivamente sostenute e quietanzate secondo la normativa vigente.</w:t>
      </w:r>
    </w:p>
    <w:p w:rsidR="00864809" w:rsidRPr="00566D06" w:rsidRDefault="00864809" w:rsidP="00864809">
      <w:pPr>
        <w:pStyle w:val="Normale2"/>
        <w:ind w:right="1135"/>
      </w:pPr>
    </w:p>
    <w:p w:rsidR="00864809" w:rsidRPr="00566D06" w:rsidRDefault="00864809" w:rsidP="00927FAE">
      <w:pPr>
        <w:pStyle w:val="Normale2"/>
        <w:numPr>
          <w:ilvl w:val="0"/>
          <w:numId w:val="40"/>
        </w:numPr>
        <w:ind w:right="1135"/>
      </w:pPr>
      <w:r w:rsidRPr="00566D06">
        <w:t>L’intera documentazione di spesa deve essere annullata con la dicitura non cancellabile: “Documento contabile finanziato a valere sul P.O.R. Puglia 2014-2020 Azione 6.7 – ammesso per l’intero importo/per l’importo di €__________”. Nel caso di documenti di spesa prodotti in formato elettronico, tale dicitura dovrà risultare inserita digitalmente in apposito spazio dello stesso documento.</w:t>
      </w:r>
    </w:p>
    <w:p w:rsidR="00864809" w:rsidRPr="00566D06" w:rsidRDefault="00864809" w:rsidP="00864809">
      <w:pPr>
        <w:pStyle w:val="Normale2"/>
        <w:ind w:right="1135"/>
      </w:pPr>
    </w:p>
    <w:p w:rsidR="00864809" w:rsidRPr="00566D06" w:rsidRDefault="00864809" w:rsidP="00927FAE">
      <w:pPr>
        <w:pStyle w:val="Normale2"/>
        <w:numPr>
          <w:ilvl w:val="0"/>
          <w:numId w:val="40"/>
        </w:numPr>
        <w:ind w:right="1135"/>
      </w:pPr>
      <w:r w:rsidRPr="00566D06">
        <w:t>In caso di mancato concreto avvio dei lavori o completamento dell’operazione ammessa a contributo finanziario per la quale si sia provveduto ad erogare quota del contributo stesso, la Regione potrà procedere, ai sensi e con le modalità di cui all’art. 9, comma 4 e all’art. 14, alla revoca del contributo finanziario e al recupero delle somme già erogate.</w:t>
      </w:r>
    </w:p>
    <w:p w:rsidR="00617ADF" w:rsidRPr="00566D06" w:rsidRDefault="00617ADF" w:rsidP="00617ADF">
      <w:pPr>
        <w:pStyle w:val="Normale2"/>
        <w:ind w:left="814" w:right="1135"/>
      </w:pPr>
    </w:p>
    <w:p w:rsidR="004A217C" w:rsidRPr="00566D06" w:rsidRDefault="004A217C" w:rsidP="00927FAE">
      <w:pPr>
        <w:pStyle w:val="Normale2"/>
        <w:numPr>
          <w:ilvl w:val="0"/>
          <w:numId w:val="40"/>
        </w:numPr>
        <w:ind w:right="1135"/>
      </w:pPr>
      <w:r w:rsidRPr="00566D06">
        <w:t>Nel caso in cui per la realizzazione dell’intervento oggetto del presente disciplinare siano previste più procedure di affidamento di lavori</w:t>
      </w:r>
      <w:r w:rsidR="00E43A68" w:rsidRPr="00566D06">
        <w:t>/</w:t>
      </w:r>
      <w:r w:rsidRPr="00566D06">
        <w:t>forniture, le erogazioni saranno effettuate applicando le percentuali indicate a</w:t>
      </w:r>
      <w:r w:rsidR="003157C4" w:rsidRPr="00566D06">
        <w:t>l</w:t>
      </w:r>
      <w:r w:rsidRPr="00566D06">
        <w:t xml:space="preserve"> comm</w:t>
      </w:r>
      <w:r w:rsidR="003157C4" w:rsidRPr="00566D06">
        <w:t>a</w:t>
      </w:r>
      <w:r w:rsidRPr="00566D06">
        <w:t xml:space="preserve"> 1 del presente articolo all’importo del contributo finanziario spettante per ciascun affidamento.</w:t>
      </w:r>
      <w:r w:rsidR="00F33071" w:rsidRPr="00566D06">
        <w:t xml:space="preserve"> A tal fine il Beneficiario </w:t>
      </w:r>
      <w:r w:rsidR="00E43A68" w:rsidRPr="00566D06">
        <w:t>sottopone</w:t>
      </w:r>
      <w:r w:rsidR="00F33071" w:rsidRPr="00566D06">
        <w:t xml:space="preserve"> </w:t>
      </w:r>
      <w:r w:rsidR="005622F3" w:rsidRPr="00566D06">
        <w:t xml:space="preserve">alla Regione </w:t>
      </w:r>
      <w:r w:rsidR="00F33071" w:rsidRPr="00566D06">
        <w:t>una ripartizione</w:t>
      </w:r>
      <w:r w:rsidR="00F02102" w:rsidRPr="00566D06">
        <w:t xml:space="preserve"> per ciascun affidamento</w:t>
      </w:r>
      <w:r w:rsidR="00F33071" w:rsidRPr="00566D06">
        <w:t xml:space="preserve"> del quadro economico </w:t>
      </w:r>
      <w:r w:rsidR="005622F3" w:rsidRPr="00566D06">
        <w:t>rideterminato</w:t>
      </w:r>
      <w:r w:rsidR="00F33071" w:rsidRPr="00566D06">
        <w:t>.</w:t>
      </w:r>
    </w:p>
    <w:p w:rsidR="00E348A8" w:rsidRPr="00566D06" w:rsidRDefault="00E348A8" w:rsidP="00E348A8">
      <w:pPr>
        <w:pStyle w:val="Normale2"/>
        <w:ind w:right="1135"/>
      </w:pPr>
    </w:p>
    <w:p w:rsidR="00B31FEF" w:rsidRPr="00566D06" w:rsidRDefault="00E348A8">
      <w:pPr>
        <w:pStyle w:val="Normale2"/>
        <w:ind w:right="1135"/>
        <w:jc w:val="center"/>
        <w:rPr>
          <w:b/>
        </w:rPr>
      </w:pPr>
      <w:r w:rsidRPr="00566D06">
        <w:rPr>
          <w:b/>
        </w:rPr>
        <w:t>Art. 8 – Rendicontazione</w:t>
      </w:r>
      <w:r w:rsidR="0031089B" w:rsidRPr="00566D06">
        <w:rPr>
          <w:b/>
        </w:rPr>
        <w:t xml:space="preserve"> e monitoraggio</w:t>
      </w:r>
    </w:p>
    <w:p w:rsidR="0070004C" w:rsidRPr="00566D06" w:rsidRDefault="0070004C" w:rsidP="0070004C">
      <w:pPr>
        <w:pStyle w:val="Normale2"/>
        <w:ind w:left="814" w:right="1135"/>
      </w:pPr>
    </w:p>
    <w:p w:rsidR="00B130DA" w:rsidRPr="00566D06" w:rsidRDefault="00B03902" w:rsidP="003001CA">
      <w:pPr>
        <w:pStyle w:val="Normale2"/>
        <w:numPr>
          <w:ilvl w:val="0"/>
          <w:numId w:val="9"/>
        </w:numPr>
        <w:ind w:right="1135"/>
      </w:pPr>
      <w:r w:rsidRPr="00566D06">
        <w:t>I</w:t>
      </w:r>
      <w:r w:rsidR="004909B5" w:rsidRPr="00566D06">
        <w:t xml:space="preserve">l </w:t>
      </w:r>
      <w:r w:rsidR="001A758E" w:rsidRPr="00566D06">
        <w:t>S</w:t>
      </w:r>
      <w:r w:rsidR="004909B5" w:rsidRPr="00566D06">
        <w:t>oggetto beneficiario è tenuto</w:t>
      </w:r>
      <w:r w:rsidR="002B5F0B" w:rsidRPr="00566D06">
        <w:t>, attraverso il sistema informativo MIRWEB</w:t>
      </w:r>
      <w:r w:rsidR="004909B5" w:rsidRPr="00566D06">
        <w:t xml:space="preserve"> a</w:t>
      </w:r>
      <w:r w:rsidR="00B130DA" w:rsidRPr="00566D06">
        <w:t>:</w:t>
      </w:r>
    </w:p>
    <w:p w:rsidR="00B31FEF" w:rsidRPr="00566D06" w:rsidRDefault="00B9042F">
      <w:pPr>
        <w:pStyle w:val="Normale2"/>
        <w:numPr>
          <w:ilvl w:val="0"/>
          <w:numId w:val="24"/>
        </w:numPr>
        <w:ind w:right="1135"/>
      </w:pPr>
      <w:proofErr w:type="gramStart"/>
      <w:r w:rsidRPr="00566D06">
        <w:t>rendicontare  le</w:t>
      </w:r>
      <w:proofErr w:type="gramEnd"/>
      <w:r w:rsidRPr="00566D06">
        <w:t xml:space="preserve"> spese sostenute</w:t>
      </w:r>
      <w:r w:rsidR="00203D73" w:rsidRPr="00566D06">
        <w:t>;</w:t>
      </w:r>
    </w:p>
    <w:p w:rsidR="00B31FEF" w:rsidRPr="00566D06" w:rsidRDefault="00B9042F">
      <w:pPr>
        <w:pStyle w:val="Normale2"/>
        <w:numPr>
          <w:ilvl w:val="0"/>
          <w:numId w:val="24"/>
        </w:numPr>
        <w:ind w:right="1135"/>
      </w:pPr>
      <w:r w:rsidRPr="00566D06">
        <w:t>aggiornare i valori degli indicatori di realizzazione</w:t>
      </w:r>
      <w:r w:rsidR="00B130DA" w:rsidRPr="00566D06">
        <w:t>;</w:t>
      </w:r>
    </w:p>
    <w:p w:rsidR="00B31FEF" w:rsidRPr="00566D06" w:rsidRDefault="008B3CD2">
      <w:pPr>
        <w:pStyle w:val="Normale2"/>
        <w:numPr>
          <w:ilvl w:val="0"/>
          <w:numId w:val="24"/>
        </w:numPr>
        <w:ind w:right="1135"/>
      </w:pPr>
      <w:r w:rsidRPr="00566D06">
        <w:t xml:space="preserve">confermare </w:t>
      </w:r>
      <w:r w:rsidR="002B5F0B" w:rsidRPr="00566D06">
        <w:t>le informazioni relative al monitoraggio procedurale</w:t>
      </w:r>
      <w:r w:rsidRPr="00566D06">
        <w:t xml:space="preserve"> (Art 4 comma 2 del presente </w:t>
      </w:r>
      <w:r w:rsidR="00020C5E" w:rsidRPr="00566D06">
        <w:t>Disciplinare</w:t>
      </w:r>
      <w:r w:rsidRPr="00566D06">
        <w:t>)</w:t>
      </w:r>
      <w:r w:rsidR="00680D6F" w:rsidRPr="00566D06">
        <w:t>;</w:t>
      </w:r>
    </w:p>
    <w:p w:rsidR="00B31FEF" w:rsidRPr="00566D06" w:rsidRDefault="00B9042F">
      <w:pPr>
        <w:pStyle w:val="Normale2"/>
        <w:numPr>
          <w:ilvl w:val="0"/>
          <w:numId w:val="24"/>
        </w:numPr>
        <w:ind w:right="1135"/>
      </w:pPr>
      <w:r w:rsidRPr="00566D06">
        <w:t>presenta</w:t>
      </w:r>
      <w:r w:rsidR="00922812" w:rsidRPr="00566D06">
        <w:t>re</w:t>
      </w:r>
      <w:r w:rsidRPr="00566D06">
        <w:t xml:space="preserve"> la </w:t>
      </w:r>
      <w:r w:rsidR="00680D6F" w:rsidRPr="00566D06">
        <w:t xml:space="preserve">documentazione elencata all’art. 7 del presente </w:t>
      </w:r>
      <w:r w:rsidR="00020C5E" w:rsidRPr="00566D06">
        <w:t>Disciplinare</w:t>
      </w:r>
      <w:r w:rsidR="00680D6F" w:rsidRPr="00566D06">
        <w:t>.</w:t>
      </w:r>
    </w:p>
    <w:p w:rsidR="00D87259" w:rsidRPr="00566D06" w:rsidRDefault="00D87259">
      <w:pPr>
        <w:pStyle w:val="Normale2"/>
        <w:ind w:left="814" w:right="1135"/>
      </w:pPr>
    </w:p>
    <w:p w:rsidR="008F6CDA" w:rsidRPr="00566D06" w:rsidRDefault="008F6CDA" w:rsidP="003001CA">
      <w:pPr>
        <w:pStyle w:val="Normale2"/>
        <w:numPr>
          <w:ilvl w:val="0"/>
          <w:numId w:val="9"/>
        </w:numPr>
        <w:ind w:right="1135"/>
      </w:pPr>
      <w:r w:rsidRPr="00566D06">
        <w:t>La rendicontazione nel sistema informativo MIR deve essere presentata anche nel caso in cui non si sia registrato nel trimestre di riferimento alcun avanzamento finanziario, fisico o procedurale (</w:t>
      </w:r>
      <w:r w:rsidR="00FA1991" w:rsidRPr="00566D06">
        <w:t>“</w:t>
      </w:r>
      <w:r w:rsidRPr="00566D06">
        <w:t>rendicontazione a zero”). In tal ca</w:t>
      </w:r>
      <w:r w:rsidR="00BD19BA" w:rsidRPr="00566D06">
        <w:t xml:space="preserve">so il </w:t>
      </w:r>
      <w:r w:rsidR="004A67EE" w:rsidRPr="00566D06">
        <w:t>B</w:t>
      </w:r>
      <w:r w:rsidR="00BD19BA" w:rsidRPr="00566D06">
        <w:t xml:space="preserve">eneficiario deve descrivere </w:t>
      </w:r>
      <w:r w:rsidRPr="00566D06">
        <w:t>i motivi del mancato avanzamento.</w:t>
      </w:r>
    </w:p>
    <w:p w:rsidR="00BD19BA" w:rsidRPr="00566D06" w:rsidRDefault="00BD19BA" w:rsidP="00BD19BA">
      <w:pPr>
        <w:pStyle w:val="Normale2"/>
        <w:ind w:left="814" w:right="1135"/>
      </w:pPr>
    </w:p>
    <w:p w:rsidR="00BD19BA" w:rsidRPr="00566D06" w:rsidRDefault="00BD19BA" w:rsidP="003001CA">
      <w:pPr>
        <w:pStyle w:val="Normale2"/>
        <w:numPr>
          <w:ilvl w:val="0"/>
          <w:numId w:val="9"/>
        </w:numPr>
        <w:ind w:right="1135"/>
      </w:pPr>
      <w:r w:rsidRPr="00566D06">
        <w:t>Nel caso in cui la Regione, a seguito della verifica della rendicontazione presentata, richieda informazioni e/o documentazione integrativa, tali integrazioni dovranno essere fornite dal Beneficiario entro e non oltre dieci (10) giorni dalla ricezione della richiesta.</w:t>
      </w:r>
    </w:p>
    <w:p w:rsidR="008F6CDA" w:rsidRPr="00566D06" w:rsidRDefault="008F6CDA" w:rsidP="004909B5">
      <w:pPr>
        <w:pStyle w:val="Normale2"/>
        <w:ind w:left="1174" w:right="1135"/>
      </w:pPr>
    </w:p>
    <w:p w:rsidR="0081369A" w:rsidRPr="00566D06" w:rsidRDefault="008F6CDA" w:rsidP="00E348A8">
      <w:pPr>
        <w:pStyle w:val="Normale2"/>
        <w:numPr>
          <w:ilvl w:val="0"/>
          <w:numId w:val="9"/>
        </w:numPr>
        <w:ind w:right="1135"/>
      </w:pPr>
      <w:r w:rsidRPr="00566D06">
        <w:t>I</w:t>
      </w:r>
      <w:r w:rsidR="00454CA1" w:rsidRPr="00566D06">
        <w:t>n</w:t>
      </w:r>
      <w:r w:rsidRPr="00566D06">
        <w:t xml:space="preserve"> </w:t>
      </w:r>
      <w:r w:rsidR="00780A0D" w:rsidRPr="00566D06">
        <w:t xml:space="preserve">caso di </w:t>
      </w:r>
      <w:r w:rsidRPr="00566D06">
        <w:t xml:space="preserve">mancato </w:t>
      </w:r>
      <w:r w:rsidR="001C4E9C" w:rsidRPr="00566D06">
        <w:t xml:space="preserve">aggiornamento del sistema alle scadenze stabilite dal </w:t>
      </w:r>
      <w:r w:rsidR="004A67EE" w:rsidRPr="00566D06">
        <w:t xml:space="preserve">comma </w:t>
      </w:r>
      <w:r w:rsidR="001C4E9C" w:rsidRPr="00566D06">
        <w:t>2</w:t>
      </w:r>
      <w:r w:rsidR="00617ADF" w:rsidRPr="00566D06">
        <w:t xml:space="preserve"> del presente articolo</w:t>
      </w:r>
      <w:r w:rsidR="001C4E9C" w:rsidRPr="00566D06">
        <w:t xml:space="preserve">, </w:t>
      </w:r>
      <w:r w:rsidR="000457FA" w:rsidRPr="00566D06">
        <w:t>la Regione, previa diffida, potrà procedere alla revoca</w:t>
      </w:r>
      <w:r w:rsidR="00BD19BA" w:rsidRPr="00566D06">
        <w:t xml:space="preserve"> parziale o totale</w:t>
      </w:r>
      <w:r w:rsidR="000457FA" w:rsidRPr="00566D06">
        <w:t xml:space="preserve"> </w:t>
      </w:r>
      <w:r w:rsidR="00BD19BA" w:rsidRPr="00566D06">
        <w:t>del</w:t>
      </w:r>
      <w:r w:rsidR="000457FA" w:rsidRPr="00566D06">
        <w:t xml:space="preserve"> finanziamento</w:t>
      </w:r>
      <w:r w:rsidR="00E84EAD" w:rsidRPr="00566D06">
        <w:t xml:space="preserve">, </w:t>
      </w:r>
      <w:r w:rsidR="000457FA" w:rsidRPr="00566D06">
        <w:t>al recupero delle eventuali somme già versate</w:t>
      </w:r>
      <w:r w:rsidR="00E84EAD" w:rsidRPr="00566D06">
        <w:t>, nonché all’esclusione da procedure di ammissione a finanziamento d</w:t>
      </w:r>
      <w:r w:rsidR="00617ADF" w:rsidRPr="00566D06">
        <w:t>e</w:t>
      </w:r>
      <w:r w:rsidR="00E84EAD" w:rsidRPr="00566D06">
        <w:t xml:space="preserve">i progetti </w:t>
      </w:r>
      <w:r w:rsidR="00617ADF" w:rsidRPr="00566D06">
        <w:t xml:space="preserve">del Beneficiario </w:t>
      </w:r>
      <w:r w:rsidR="00E84EAD" w:rsidRPr="00566D06">
        <w:t>a valere sulla programmazione unitaria per il biennio successivo</w:t>
      </w:r>
      <w:r w:rsidR="000457FA" w:rsidRPr="00566D06">
        <w:t>.</w:t>
      </w:r>
    </w:p>
    <w:p w:rsidR="00E84EAD" w:rsidRPr="00566D06" w:rsidRDefault="00E84EAD" w:rsidP="00E84EAD">
      <w:pPr>
        <w:pStyle w:val="Normale2"/>
        <w:ind w:left="814" w:right="1135"/>
      </w:pPr>
    </w:p>
    <w:p w:rsidR="00B31FEF" w:rsidRPr="00566D06" w:rsidRDefault="00E348A8" w:rsidP="00B03902">
      <w:pPr>
        <w:pStyle w:val="Normale2"/>
        <w:keepNext/>
        <w:keepLines/>
        <w:ind w:right="1134"/>
        <w:jc w:val="center"/>
        <w:rPr>
          <w:b/>
        </w:rPr>
      </w:pPr>
      <w:r w:rsidRPr="00566D06">
        <w:rPr>
          <w:b/>
        </w:rPr>
        <w:t xml:space="preserve">Art. </w:t>
      </w:r>
      <w:r w:rsidR="00A24493" w:rsidRPr="00566D06">
        <w:rPr>
          <w:b/>
        </w:rPr>
        <w:t xml:space="preserve">9 </w:t>
      </w:r>
      <w:r w:rsidRPr="00566D06">
        <w:rPr>
          <w:b/>
        </w:rPr>
        <w:t>- Controlli e verifiche</w:t>
      </w:r>
    </w:p>
    <w:p w:rsidR="00E348A8" w:rsidRPr="00566D06" w:rsidRDefault="00E348A8" w:rsidP="00B03902">
      <w:pPr>
        <w:pStyle w:val="Normale2"/>
        <w:keepNext/>
        <w:keepLines/>
        <w:ind w:right="1134"/>
      </w:pPr>
    </w:p>
    <w:p w:rsidR="00E348A8" w:rsidRPr="00566D06" w:rsidRDefault="00E348A8" w:rsidP="00B03902">
      <w:pPr>
        <w:pStyle w:val="Normale2"/>
        <w:keepNext/>
        <w:keepLines/>
        <w:numPr>
          <w:ilvl w:val="0"/>
          <w:numId w:val="17"/>
        </w:numPr>
        <w:ind w:right="1134"/>
      </w:pPr>
      <w:r w:rsidRPr="00566D06">
        <w:t>La Regione Puglia si riserva il diritto di esercitare, in ogni tempo e con le modalità che riterrà opportune, verifiche e controlli sulla regolarità contabile, tecnica e amministrativa delle procedure adottate in relazione all’intervento da realizzare nonché sul suo avanzamento fisico e finanziario.</w:t>
      </w:r>
    </w:p>
    <w:p w:rsidR="00E348A8" w:rsidRPr="00566D06" w:rsidRDefault="00E348A8" w:rsidP="00FA1991">
      <w:pPr>
        <w:pStyle w:val="Normale2"/>
        <w:ind w:left="814" w:right="1135"/>
      </w:pPr>
      <w:r w:rsidRPr="00566D06">
        <w:t>Tali verifiche non sollevano, in ogni caso, il Soggetto beneficiario dalla piena ed esclusiva responsabilità della regolare e perfetta</w:t>
      </w:r>
      <w:r w:rsidR="0056701A" w:rsidRPr="00566D06">
        <w:t xml:space="preserve"> realizzazione dell’intervento.</w:t>
      </w:r>
      <w:r w:rsidRPr="00566D06">
        <w:t xml:space="preserve"> </w:t>
      </w:r>
    </w:p>
    <w:p w:rsidR="00617ADF" w:rsidRPr="00566D06" w:rsidRDefault="00617ADF" w:rsidP="00FA1991">
      <w:pPr>
        <w:pStyle w:val="Normale2"/>
        <w:ind w:left="814" w:right="1135"/>
      </w:pPr>
    </w:p>
    <w:p w:rsidR="00E348A8" w:rsidRPr="00566D06" w:rsidRDefault="00E348A8" w:rsidP="003001CA">
      <w:pPr>
        <w:pStyle w:val="Normale2"/>
        <w:numPr>
          <w:ilvl w:val="0"/>
          <w:numId w:val="17"/>
        </w:numPr>
        <w:ind w:right="1135"/>
      </w:pPr>
      <w:r w:rsidRPr="00566D06">
        <w:t>La Regione Puglia rimane estranea ad ogni rapporto comunque nascente con terzi in dipendenza della realizzazione delle opere. Le verifiche effettuate riguardano esclusivamente i rapporti che intercorrono con il Soggetto beneficiario.</w:t>
      </w:r>
    </w:p>
    <w:p w:rsidR="00617ADF" w:rsidRPr="00566D06" w:rsidRDefault="00617ADF" w:rsidP="00617ADF">
      <w:pPr>
        <w:pStyle w:val="Normale2"/>
        <w:ind w:left="814" w:right="1135"/>
      </w:pPr>
    </w:p>
    <w:p w:rsidR="00E348A8" w:rsidRPr="00566D06" w:rsidRDefault="00E348A8" w:rsidP="003001CA">
      <w:pPr>
        <w:pStyle w:val="Normale2"/>
        <w:numPr>
          <w:ilvl w:val="0"/>
          <w:numId w:val="17"/>
        </w:numPr>
        <w:ind w:right="1135"/>
      </w:pPr>
      <w:r w:rsidRPr="00566D06">
        <w:t xml:space="preserve">Come già indicato </w:t>
      </w:r>
      <w:r w:rsidR="00487093" w:rsidRPr="00566D06">
        <w:t xml:space="preserve">all’art. 3 comma 1 </w:t>
      </w:r>
      <w:proofErr w:type="spellStart"/>
      <w:r w:rsidR="00487093" w:rsidRPr="00566D06">
        <w:t>lett</w:t>
      </w:r>
      <w:proofErr w:type="spellEnd"/>
      <w:r w:rsidR="00487093" w:rsidRPr="00566D06">
        <w:t xml:space="preserve">. </w:t>
      </w:r>
      <w:r w:rsidR="007F2733" w:rsidRPr="00566D06">
        <w:t>k</w:t>
      </w:r>
      <w:r w:rsidR="00487093" w:rsidRPr="00566D06">
        <w:t>),</w:t>
      </w:r>
      <w:r w:rsidRPr="00566D06">
        <w:t xml:space="preserve"> il Soggetto beneficiario è impegnato a conservare e rendere disponibile la documentazione relativa all’operazione ammessa a contributo finanziario, ivi compresi tutti i giustificativi di spesa, nonché a consentire le verifiche in loco, a favore delle autorità di controllo regionali, nazionali e comunitarie</w:t>
      </w:r>
      <w:r w:rsidR="00561A83" w:rsidRPr="00566D06">
        <w:t xml:space="preserve"> per</w:t>
      </w:r>
      <w:r w:rsidRPr="00566D06">
        <w:t xml:space="preserve"> </w:t>
      </w:r>
      <w:r w:rsidR="00561A83" w:rsidRPr="00566D06">
        <w:rPr>
          <w:color w:val="000000"/>
        </w:rPr>
        <w:t>il periodo previsto dall’art. 140 del Reg. (UE) n. 1303/2013 (</w:t>
      </w:r>
      <w:r w:rsidR="00561A83" w:rsidRPr="00566D06">
        <w:t>tre anni a decorrere dal 31 dicembre successivo alla presentazione dei conti nei quali sono incluse le spese dell'operazione) salvo diversa indicazione in corso d’opera da parte della Regione.</w:t>
      </w:r>
    </w:p>
    <w:p w:rsidR="00617ADF" w:rsidRPr="00566D06" w:rsidRDefault="00617ADF" w:rsidP="00617ADF">
      <w:pPr>
        <w:pStyle w:val="Normale2"/>
        <w:ind w:left="814" w:right="1135"/>
      </w:pPr>
    </w:p>
    <w:p w:rsidR="00E348A8" w:rsidRPr="00566D06" w:rsidRDefault="00E348A8" w:rsidP="003001CA">
      <w:pPr>
        <w:pStyle w:val="Normale2"/>
        <w:numPr>
          <w:ilvl w:val="0"/>
          <w:numId w:val="17"/>
        </w:numPr>
        <w:ind w:right="1135"/>
      </w:pPr>
      <w:r w:rsidRPr="00566D06">
        <w:t>In sede di controllo</w:t>
      </w:r>
      <w:r w:rsidR="00631BE9" w:rsidRPr="00566D06">
        <w:t xml:space="preserve"> da parte della </w:t>
      </w:r>
      <w:r w:rsidR="00C178C0" w:rsidRPr="00566D06">
        <w:t>struttura di gestione</w:t>
      </w:r>
      <w:r w:rsidR="00FA1991" w:rsidRPr="00566D06">
        <w:t>,</w:t>
      </w:r>
      <w:r w:rsidRPr="00566D06">
        <w:t xml:space="preserve"> </w:t>
      </w:r>
      <w:r w:rsidR="00631BE9" w:rsidRPr="00566D06">
        <w:t xml:space="preserve">dell’Autorità di Audit, della Commissione Europea, della Corte dei Conti Europea o di altri organismi di controllo interni o esterni all’Amministrazione regionale, </w:t>
      </w:r>
      <w:r w:rsidRPr="00566D06">
        <w:t>nel caso di accertamento del mancato pieno rispetto delle disposizioni normative di livello comunitario, nazionale e regionale, anche se non penalmente rilevanti, la Regione potrà procedere, a seconda dell’impatto finanziario dell’irregolarità accertata, alla revoca parziale o totale del finanziamento concesso nonché al recupero delle eventuali somme già erogate.</w:t>
      </w:r>
    </w:p>
    <w:p w:rsidR="00E348A8" w:rsidRPr="00566D06" w:rsidRDefault="00E348A8" w:rsidP="00E348A8">
      <w:pPr>
        <w:pStyle w:val="Normale2"/>
        <w:ind w:right="1135"/>
      </w:pPr>
    </w:p>
    <w:p w:rsidR="00B31FEF" w:rsidRPr="00566D06" w:rsidRDefault="00E348A8" w:rsidP="008D29CE">
      <w:pPr>
        <w:pStyle w:val="Normale2"/>
        <w:keepNext/>
        <w:keepLines/>
        <w:ind w:right="1134"/>
        <w:jc w:val="center"/>
        <w:rPr>
          <w:b/>
        </w:rPr>
      </w:pPr>
      <w:r w:rsidRPr="00566D06">
        <w:rPr>
          <w:b/>
        </w:rPr>
        <w:t xml:space="preserve">Art. </w:t>
      </w:r>
      <w:r w:rsidR="00A24493" w:rsidRPr="00566D06">
        <w:rPr>
          <w:b/>
        </w:rPr>
        <w:t xml:space="preserve">10 </w:t>
      </w:r>
      <w:r w:rsidRPr="00566D06">
        <w:rPr>
          <w:b/>
        </w:rPr>
        <w:t>– Collaudi</w:t>
      </w:r>
    </w:p>
    <w:p w:rsidR="00E348A8" w:rsidRPr="00566D06" w:rsidRDefault="00E348A8" w:rsidP="008D29CE">
      <w:pPr>
        <w:pStyle w:val="Normale2"/>
        <w:keepNext/>
        <w:keepLines/>
        <w:ind w:right="1134"/>
      </w:pPr>
    </w:p>
    <w:p w:rsidR="00E348A8" w:rsidRPr="00566D06" w:rsidRDefault="00E348A8" w:rsidP="008D29CE">
      <w:pPr>
        <w:pStyle w:val="Normale2"/>
        <w:keepNext/>
        <w:keepLines/>
        <w:numPr>
          <w:ilvl w:val="0"/>
          <w:numId w:val="18"/>
        </w:numPr>
        <w:ind w:right="1134"/>
      </w:pPr>
      <w:r w:rsidRPr="00566D06">
        <w:t>L’intervento ammesso a contribuzione finanziaria è soggetto alle verifiche ed agli eventuali collaudi tecnici specifici prescritti per legge o per contratto, in relazione alla particolare natura dell’intervento stesso, nei modi e nei termini stabiliti dalla normativa vigente.</w:t>
      </w:r>
    </w:p>
    <w:p w:rsidR="00E348A8" w:rsidRPr="00566D06" w:rsidRDefault="00E348A8" w:rsidP="00E348A8">
      <w:pPr>
        <w:pStyle w:val="Normale2"/>
        <w:ind w:right="1135"/>
      </w:pPr>
    </w:p>
    <w:p w:rsidR="00B31FEF" w:rsidRPr="00566D06" w:rsidRDefault="00E348A8" w:rsidP="00B03902">
      <w:pPr>
        <w:pStyle w:val="Normale2"/>
        <w:keepNext/>
        <w:keepLines/>
        <w:ind w:right="1134"/>
        <w:jc w:val="center"/>
        <w:rPr>
          <w:b/>
        </w:rPr>
      </w:pPr>
      <w:r w:rsidRPr="00566D06">
        <w:rPr>
          <w:b/>
        </w:rPr>
        <w:t xml:space="preserve">Art. </w:t>
      </w:r>
      <w:r w:rsidR="00A24493" w:rsidRPr="00566D06">
        <w:rPr>
          <w:b/>
        </w:rPr>
        <w:t xml:space="preserve">11 </w:t>
      </w:r>
      <w:r w:rsidRPr="00566D06">
        <w:rPr>
          <w:b/>
        </w:rPr>
        <w:t>– Disponibilità dei dati</w:t>
      </w:r>
    </w:p>
    <w:p w:rsidR="00E348A8" w:rsidRPr="00566D06" w:rsidRDefault="00E348A8" w:rsidP="00B03902">
      <w:pPr>
        <w:pStyle w:val="Normale2"/>
        <w:keepNext/>
        <w:keepLines/>
        <w:ind w:right="1134"/>
      </w:pPr>
    </w:p>
    <w:p w:rsidR="00E348A8" w:rsidRPr="00566D06" w:rsidRDefault="00E348A8" w:rsidP="00906C08">
      <w:pPr>
        <w:pStyle w:val="Normale2"/>
        <w:keepNext/>
        <w:keepLines/>
        <w:numPr>
          <w:ilvl w:val="0"/>
          <w:numId w:val="41"/>
        </w:numPr>
        <w:ind w:right="1134"/>
      </w:pPr>
      <w:r w:rsidRPr="00566D06">
        <w:t xml:space="preserve">I dati relativi all’attuazione dell’intervento, così come </w:t>
      </w:r>
      <w:r w:rsidR="00617ADF" w:rsidRPr="00566D06">
        <w:t>riportati nel sistema informativ</w:t>
      </w:r>
      <w:r w:rsidRPr="00566D06">
        <w:t>o di monitoraggio finanziario, fisico e procedurale, saranno resi disponibili per gli organi istituzionali deputati al monitoraggio e al controllo.</w:t>
      </w:r>
    </w:p>
    <w:p w:rsidR="00617ADF" w:rsidRPr="00566D06" w:rsidRDefault="00617ADF" w:rsidP="00B03902">
      <w:pPr>
        <w:pStyle w:val="Normale2"/>
        <w:keepNext/>
        <w:keepLines/>
        <w:ind w:left="814" w:right="1134"/>
      </w:pPr>
    </w:p>
    <w:p w:rsidR="00E348A8" w:rsidRPr="00566D06" w:rsidRDefault="00E348A8" w:rsidP="00906C08">
      <w:pPr>
        <w:pStyle w:val="Normale2"/>
        <w:keepNext/>
        <w:keepLines/>
        <w:numPr>
          <w:ilvl w:val="0"/>
          <w:numId w:val="41"/>
        </w:numPr>
        <w:ind w:right="1134"/>
      </w:pPr>
      <w:r w:rsidRPr="00566D06">
        <w:t>Il Soggetto beneficiario si impegna a comunicare detta circostanza ai soggetti esecutori concessionari dei lavori/servizi o fornitori dei beni mobili.</w:t>
      </w:r>
    </w:p>
    <w:p w:rsidR="00617ADF" w:rsidRPr="00566D06" w:rsidRDefault="00617ADF" w:rsidP="00B03902">
      <w:pPr>
        <w:pStyle w:val="Normale2"/>
        <w:keepNext/>
        <w:keepLines/>
        <w:ind w:left="814" w:right="1134"/>
      </w:pPr>
    </w:p>
    <w:p w:rsidR="00E348A8" w:rsidRPr="00566D06" w:rsidRDefault="00E348A8" w:rsidP="00906C08">
      <w:pPr>
        <w:pStyle w:val="Normale2"/>
        <w:keepNext/>
        <w:keepLines/>
        <w:numPr>
          <w:ilvl w:val="0"/>
          <w:numId w:val="41"/>
        </w:numPr>
        <w:ind w:right="1134"/>
      </w:pPr>
      <w:r w:rsidRPr="00566D06">
        <w:t>I dati relativi all’operazione ammessa a contribuzione finanziaria e al relativo stato di avanzamento saranno resi disponibili al pubblico</w:t>
      </w:r>
      <w:r w:rsidR="005B4760" w:rsidRPr="00566D06">
        <w:t xml:space="preserve"> ai sensi dell’art. 115 par. 2 del Reg. (UE) n. 1303/2013</w:t>
      </w:r>
      <w:r w:rsidRPr="00566D06">
        <w:t>.</w:t>
      </w:r>
    </w:p>
    <w:p w:rsidR="00E348A8" w:rsidRPr="00566D06" w:rsidRDefault="00E348A8" w:rsidP="00E348A8">
      <w:pPr>
        <w:pStyle w:val="Normale2"/>
        <w:ind w:right="1135"/>
      </w:pPr>
    </w:p>
    <w:p w:rsidR="00B31FEF" w:rsidRPr="00566D06" w:rsidRDefault="00E348A8">
      <w:pPr>
        <w:pStyle w:val="Normale2"/>
        <w:ind w:right="1135"/>
        <w:jc w:val="center"/>
        <w:rPr>
          <w:b/>
        </w:rPr>
      </w:pPr>
      <w:r w:rsidRPr="00566D06">
        <w:rPr>
          <w:b/>
        </w:rPr>
        <w:lastRenderedPageBreak/>
        <w:t xml:space="preserve">Art. </w:t>
      </w:r>
      <w:r w:rsidR="00A24493" w:rsidRPr="00566D06">
        <w:rPr>
          <w:b/>
        </w:rPr>
        <w:t xml:space="preserve">12 </w:t>
      </w:r>
      <w:r w:rsidRPr="00566D06">
        <w:rPr>
          <w:b/>
        </w:rPr>
        <w:t>- Stabilità dell’operazione</w:t>
      </w:r>
    </w:p>
    <w:p w:rsidR="00FA1991" w:rsidRPr="00566D06" w:rsidRDefault="00FA1991" w:rsidP="00E348A8">
      <w:pPr>
        <w:pStyle w:val="Normale2"/>
        <w:ind w:right="1135"/>
        <w:rPr>
          <w:b/>
        </w:rPr>
      </w:pPr>
    </w:p>
    <w:p w:rsidR="00E348A8" w:rsidRPr="00566D06" w:rsidRDefault="00E348A8" w:rsidP="00377150">
      <w:pPr>
        <w:pStyle w:val="Normale2"/>
        <w:numPr>
          <w:ilvl w:val="0"/>
          <w:numId w:val="26"/>
        </w:numPr>
        <w:ind w:right="1135"/>
      </w:pPr>
      <w:r w:rsidRPr="00566D06">
        <w:t>Ai sensi e per gli effetti dell’art. 71</w:t>
      </w:r>
      <w:r w:rsidR="006D10C9" w:rsidRPr="00566D06">
        <w:t xml:space="preserve"> del Reg. (</w:t>
      </w:r>
      <w:r w:rsidR="00454CA1" w:rsidRPr="00566D06">
        <w:t>UE</w:t>
      </w:r>
      <w:r w:rsidR="006D10C9" w:rsidRPr="00566D06">
        <w:t>) n. 1303/2013, l’</w:t>
      </w:r>
      <w:r w:rsidRPr="00566D06">
        <w:t xml:space="preserve">operazione ammessa a finanziamento, pena il recupero del contributo finanziario </w:t>
      </w:r>
      <w:r w:rsidR="003E1585" w:rsidRPr="00566D06">
        <w:t>erogato</w:t>
      </w:r>
      <w:r w:rsidRPr="00566D06">
        <w:t>, per i 5 (cinque) anni successivi al pagamento finale al Soggetto beneficiario non deve subire</w:t>
      </w:r>
      <w:r w:rsidR="00FA1991" w:rsidRPr="00566D06">
        <w:t>:</w:t>
      </w:r>
    </w:p>
    <w:p w:rsidR="00454CA1" w:rsidRPr="00566D06" w:rsidRDefault="00E348A8" w:rsidP="00454CA1">
      <w:pPr>
        <w:pStyle w:val="Normale2"/>
        <w:numPr>
          <w:ilvl w:val="0"/>
          <w:numId w:val="25"/>
        </w:numPr>
        <w:ind w:right="1135"/>
      </w:pPr>
      <w:r w:rsidRPr="00566D06">
        <w:t xml:space="preserve">cessazione o </w:t>
      </w:r>
      <w:proofErr w:type="spellStart"/>
      <w:r w:rsidRPr="00566D06">
        <w:t>rilocalizzazione</w:t>
      </w:r>
      <w:proofErr w:type="spellEnd"/>
      <w:r w:rsidRPr="00566D06">
        <w:t xml:space="preserve"> di un’attività produttiva al di fuori dell’area del programma;</w:t>
      </w:r>
    </w:p>
    <w:p w:rsidR="00454CA1" w:rsidRPr="00566D06" w:rsidRDefault="00E348A8" w:rsidP="00454CA1">
      <w:pPr>
        <w:pStyle w:val="Normale2"/>
        <w:numPr>
          <w:ilvl w:val="0"/>
          <w:numId w:val="25"/>
        </w:numPr>
        <w:ind w:right="1135"/>
      </w:pPr>
      <w:r w:rsidRPr="00566D06">
        <w:t>cambio di proprietà di un’infrastruttura che procuri un vantaggio indebito a un’impresa o a un ente pubblico;</w:t>
      </w:r>
    </w:p>
    <w:p w:rsidR="00E348A8" w:rsidRPr="00566D06" w:rsidRDefault="0010504E" w:rsidP="00454CA1">
      <w:pPr>
        <w:pStyle w:val="Normale2"/>
        <w:numPr>
          <w:ilvl w:val="0"/>
          <w:numId w:val="25"/>
        </w:numPr>
        <w:ind w:right="1135"/>
      </w:pPr>
      <w:r w:rsidRPr="00566D06">
        <w:t xml:space="preserve">una </w:t>
      </w:r>
      <w:r w:rsidR="00E348A8" w:rsidRPr="00566D06">
        <w:t>modifica sostanziale che ne alteri la natura, gli obiettivi o le condizioni di attuazione</w:t>
      </w:r>
      <w:r w:rsidRPr="00566D06">
        <w:t xml:space="preserve"> dell’operazione</w:t>
      </w:r>
      <w:r w:rsidR="00E348A8" w:rsidRPr="00566D06">
        <w:t>, con il risultato di comprom</w:t>
      </w:r>
      <w:r w:rsidR="00454CA1" w:rsidRPr="00566D06">
        <w:t>ettere gli obiettivi originari.</w:t>
      </w:r>
    </w:p>
    <w:p w:rsidR="008F1650" w:rsidRPr="00566D06" w:rsidRDefault="008F1650" w:rsidP="008F1650">
      <w:pPr>
        <w:pStyle w:val="Normale2"/>
        <w:ind w:left="814" w:right="1135"/>
      </w:pPr>
    </w:p>
    <w:p w:rsidR="00B31FEF" w:rsidRPr="00566D06" w:rsidRDefault="00E348A8">
      <w:pPr>
        <w:pStyle w:val="Normale2"/>
        <w:ind w:right="1135"/>
        <w:jc w:val="center"/>
        <w:rPr>
          <w:b/>
        </w:rPr>
      </w:pPr>
      <w:r w:rsidRPr="00566D06">
        <w:rPr>
          <w:b/>
        </w:rPr>
        <w:t xml:space="preserve">Art. </w:t>
      </w:r>
      <w:r w:rsidR="00A24493" w:rsidRPr="00566D06">
        <w:rPr>
          <w:b/>
        </w:rPr>
        <w:t xml:space="preserve">13 </w:t>
      </w:r>
      <w:r w:rsidRPr="00566D06">
        <w:rPr>
          <w:b/>
        </w:rPr>
        <w:t>– Revoca della contribuzione finanziaria</w:t>
      </w:r>
    </w:p>
    <w:p w:rsidR="00E348A8" w:rsidRPr="00566D06" w:rsidRDefault="00E348A8" w:rsidP="00E348A8">
      <w:pPr>
        <w:pStyle w:val="Normale2"/>
        <w:ind w:right="1135"/>
      </w:pPr>
    </w:p>
    <w:p w:rsidR="00E348A8" w:rsidRPr="00566D06" w:rsidRDefault="00E348A8" w:rsidP="003001CA">
      <w:pPr>
        <w:pStyle w:val="Normale2"/>
        <w:numPr>
          <w:ilvl w:val="0"/>
          <w:numId w:val="19"/>
        </w:numPr>
        <w:ind w:right="1135"/>
      </w:pPr>
      <w:r w:rsidRPr="00566D06">
        <w:t xml:space="preserve">Alla Regione è riservato il potere di revocare il contributo finanziario concesso nel caso in cui il Soggetto beneficiario incorra in violazioni o negligenze in ordine alle condizioni di cui al presente </w:t>
      </w:r>
      <w:r w:rsidR="00020C5E" w:rsidRPr="00566D06">
        <w:t>Disciplinare</w:t>
      </w:r>
      <w:r w:rsidRPr="00566D06">
        <w:t>, a leggi, regolamenti e disposizioni amministrative vigenti nonché alle norme di buona amministrazione.</w:t>
      </w:r>
    </w:p>
    <w:p w:rsidR="00617ADF" w:rsidRPr="00566D06" w:rsidRDefault="00617ADF" w:rsidP="00617ADF">
      <w:pPr>
        <w:pStyle w:val="Normale2"/>
        <w:ind w:left="814" w:right="1135"/>
      </w:pPr>
    </w:p>
    <w:p w:rsidR="00E348A8" w:rsidRPr="00566D06" w:rsidRDefault="00631BE9" w:rsidP="003001CA">
      <w:pPr>
        <w:pStyle w:val="Normale2"/>
        <w:numPr>
          <w:ilvl w:val="0"/>
          <w:numId w:val="19"/>
        </w:numPr>
        <w:ind w:right="1135"/>
      </w:pPr>
      <w:r w:rsidRPr="00566D06">
        <w:t>Costituisce</w:t>
      </w:r>
      <w:r w:rsidR="00E348A8" w:rsidRPr="00566D06">
        <w:t xml:space="preserve"> motivo di revoca il mancato aggiornamento dei dati relativi all’intervento finanziato nel sistema di monitoraggio da parte del Soggetto beneficiario.</w:t>
      </w:r>
    </w:p>
    <w:p w:rsidR="00617ADF" w:rsidRPr="00566D06" w:rsidRDefault="00617ADF" w:rsidP="00617ADF">
      <w:pPr>
        <w:pStyle w:val="Normale2"/>
        <w:ind w:left="814" w:right="1135"/>
      </w:pPr>
    </w:p>
    <w:p w:rsidR="00E348A8" w:rsidRPr="00566D06" w:rsidRDefault="00E348A8" w:rsidP="003001CA">
      <w:pPr>
        <w:pStyle w:val="Normale2"/>
        <w:numPr>
          <w:ilvl w:val="0"/>
          <w:numId w:val="19"/>
        </w:numPr>
        <w:ind w:right="1135"/>
      </w:pPr>
      <w:r w:rsidRPr="00566D06">
        <w:t>Lo stesso potere di revoca la Regione lo eserciterà ove, per imperizia o altro comportamento, il Soggetto beneficiario comprometta la tempestiva esecuzione e/o buona riuscita dell'intervento.</w:t>
      </w:r>
    </w:p>
    <w:p w:rsidR="00617ADF" w:rsidRPr="00566D06" w:rsidRDefault="00617ADF" w:rsidP="00617ADF">
      <w:pPr>
        <w:pStyle w:val="Normale2"/>
        <w:ind w:left="814" w:right="1135"/>
      </w:pPr>
    </w:p>
    <w:p w:rsidR="00E348A8" w:rsidRPr="00566D06" w:rsidRDefault="00E348A8" w:rsidP="003001CA">
      <w:pPr>
        <w:pStyle w:val="Normale2"/>
        <w:numPr>
          <w:ilvl w:val="0"/>
          <w:numId w:val="19"/>
        </w:numPr>
        <w:ind w:right="1135"/>
      </w:pPr>
      <w:r w:rsidRPr="00566D06">
        <w:t>In caso di revoca</w:t>
      </w:r>
      <w:r w:rsidR="00617ADF" w:rsidRPr="00566D06">
        <w:t>,</w:t>
      </w:r>
      <w:r w:rsidRPr="00566D06">
        <w:t xml:space="preserve"> il Soggetto beneficiario è obbligato a restituire alla Regione le somme da quest'ultima erogate, maggiorate degli eventuali interessi legali, restando a totale carico del medesimo Soggetto beneficiario tutti gli oneri relativi all'intervento.</w:t>
      </w:r>
    </w:p>
    <w:p w:rsidR="00617ADF" w:rsidRPr="00566D06" w:rsidRDefault="00617ADF" w:rsidP="00617ADF">
      <w:pPr>
        <w:pStyle w:val="Normale2"/>
        <w:ind w:left="814" w:right="1135"/>
      </w:pPr>
    </w:p>
    <w:p w:rsidR="00E348A8" w:rsidRPr="00566D06" w:rsidRDefault="00617ADF" w:rsidP="003001CA">
      <w:pPr>
        <w:pStyle w:val="Normale2"/>
        <w:numPr>
          <w:ilvl w:val="0"/>
          <w:numId w:val="19"/>
        </w:numPr>
        <w:ind w:right="1135"/>
      </w:pPr>
      <w:r w:rsidRPr="00566D06">
        <w:t xml:space="preserve">Inoltre, è </w:t>
      </w:r>
      <w:r w:rsidR="00E348A8" w:rsidRPr="00566D06">
        <w:t>facoltà della Regione utilizzare il potere di revoca previsto dal presente articolo nel caso di gravi ritardi, indipendentemente da fatti imputabili al Soggetto beneficiario, nell'utilizzo del finanziamento concesso.</w:t>
      </w:r>
    </w:p>
    <w:p w:rsidR="00617ADF" w:rsidRPr="00566D06" w:rsidRDefault="00617ADF" w:rsidP="00617ADF">
      <w:pPr>
        <w:pStyle w:val="Normale2"/>
        <w:ind w:left="814" w:right="1135"/>
      </w:pPr>
    </w:p>
    <w:p w:rsidR="00E348A8" w:rsidRPr="00566D06" w:rsidRDefault="00E348A8" w:rsidP="003001CA">
      <w:pPr>
        <w:pStyle w:val="Normale2"/>
        <w:numPr>
          <w:ilvl w:val="0"/>
          <w:numId w:val="19"/>
        </w:numPr>
        <w:ind w:right="1135"/>
      </w:pPr>
      <w:r w:rsidRPr="00566D06">
        <w:t>In caso di revoca parziale riferita alla parte di finanziamento di cui alle spese accertate non ammissibili, le stesse saranno a totale carico del Soggetto beneficiario.</w:t>
      </w:r>
    </w:p>
    <w:p w:rsidR="00E348A8" w:rsidRPr="00566D06" w:rsidRDefault="00E348A8" w:rsidP="00E348A8">
      <w:pPr>
        <w:pStyle w:val="Normale2"/>
        <w:ind w:right="1135"/>
      </w:pPr>
    </w:p>
    <w:p w:rsidR="00B31FEF" w:rsidRPr="00566D06" w:rsidRDefault="00E348A8">
      <w:pPr>
        <w:pStyle w:val="Normale2"/>
        <w:ind w:right="1135"/>
        <w:jc w:val="center"/>
        <w:rPr>
          <w:b/>
        </w:rPr>
      </w:pPr>
      <w:r w:rsidRPr="00566D06">
        <w:rPr>
          <w:b/>
        </w:rPr>
        <w:t xml:space="preserve">Art. </w:t>
      </w:r>
      <w:r w:rsidR="00A24493" w:rsidRPr="00566D06">
        <w:rPr>
          <w:b/>
        </w:rPr>
        <w:t xml:space="preserve">14 </w:t>
      </w:r>
      <w:r w:rsidRPr="00566D06">
        <w:rPr>
          <w:b/>
        </w:rPr>
        <w:t>– Richiamo generale alle norme vigenti e alle disposizioni comunitarie</w:t>
      </w:r>
    </w:p>
    <w:p w:rsidR="0056701A" w:rsidRPr="00566D06" w:rsidRDefault="0056701A">
      <w:pPr>
        <w:pStyle w:val="Normale2"/>
        <w:ind w:right="1135"/>
        <w:jc w:val="center"/>
        <w:rPr>
          <w:b/>
        </w:rPr>
      </w:pPr>
    </w:p>
    <w:p w:rsidR="00B31FEF" w:rsidRPr="00566D06" w:rsidRDefault="00E348A8">
      <w:pPr>
        <w:pStyle w:val="Normale2"/>
        <w:numPr>
          <w:ilvl w:val="0"/>
          <w:numId w:val="27"/>
        </w:numPr>
        <w:ind w:right="1135"/>
      </w:pPr>
      <w:r w:rsidRPr="00566D06">
        <w:t>Per quanto non espressamente previsto, si richiamano tutte le norme di legge vigenti in materia, nonché le disposizioni im</w:t>
      </w:r>
      <w:r w:rsidR="00617ADF" w:rsidRPr="00566D06">
        <w:t>partite dall’</w:t>
      </w:r>
      <w:r w:rsidRPr="00566D06">
        <w:t>Unione Europea.</w:t>
      </w:r>
    </w:p>
    <w:p w:rsidR="00E348A8" w:rsidRPr="00566D06" w:rsidRDefault="00E348A8" w:rsidP="00E348A8">
      <w:pPr>
        <w:pStyle w:val="Normale2"/>
        <w:ind w:right="1135"/>
      </w:pPr>
    </w:p>
    <w:p w:rsidR="00E348A8" w:rsidRPr="00566D06" w:rsidRDefault="00E348A8" w:rsidP="00E348A8">
      <w:pPr>
        <w:pStyle w:val="Normale2"/>
        <w:ind w:right="1135"/>
      </w:pPr>
    </w:p>
    <w:p w:rsidR="00E348A8" w:rsidRPr="00566D06" w:rsidRDefault="00E348A8" w:rsidP="00E348A8">
      <w:pPr>
        <w:pStyle w:val="Normale2"/>
        <w:ind w:right="1135"/>
      </w:pPr>
      <w:r w:rsidRPr="00566D06">
        <w:t xml:space="preserve"> Bari, _______________</w:t>
      </w:r>
    </w:p>
    <w:p w:rsidR="00E348A8" w:rsidRPr="00566D06" w:rsidRDefault="00E348A8" w:rsidP="00E348A8">
      <w:pPr>
        <w:pStyle w:val="Normale2"/>
        <w:ind w:right="1135"/>
      </w:pPr>
    </w:p>
    <w:p w:rsidR="00E348A8" w:rsidRPr="00566D06" w:rsidRDefault="00E348A8" w:rsidP="00E348A8">
      <w:pPr>
        <w:pStyle w:val="Normale2"/>
        <w:ind w:right="1135"/>
      </w:pPr>
      <w:r w:rsidRPr="00566D06">
        <w:t xml:space="preserve">Per il Soggetto beneficiario, </w:t>
      </w:r>
    </w:p>
    <w:p w:rsidR="00E348A8" w:rsidRPr="00566D06" w:rsidRDefault="00E348A8" w:rsidP="00E348A8">
      <w:pPr>
        <w:pStyle w:val="Normale2"/>
        <w:ind w:right="1135"/>
      </w:pPr>
      <w:r w:rsidRPr="00566D06">
        <w:t>il legale rappresentante</w:t>
      </w:r>
    </w:p>
    <w:p w:rsidR="00E348A8" w:rsidRPr="00566D06" w:rsidRDefault="00E348A8" w:rsidP="00E348A8">
      <w:pPr>
        <w:pStyle w:val="Normale2"/>
        <w:ind w:right="1135"/>
      </w:pPr>
      <w:r w:rsidRPr="00566D06">
        <w:tab/>
      </w:r>
      <w:r w:rsidRPr="00566D06">
        <w:tab/>
      </w:r>
      <w:r w:rsidRPr="00566D06">
        <w:tab/>
      </w:r>
      <w:r w:rsidRPr="00566D06">
        <w:tab/>
      </w:r>
      <w:r w:rsidRPr="00566D06">
        <w:tab/>
      </w:r>
      <w:r w:rsidRPr="00566D06">
        <w:tab/>
      </w:r>
      <w:r w:rsidR="007314B0" w:rsidRPr="00566D06">
        <w:t xml:space="preserve">  </w:t>
      </w:r>
      <w:r w:rsidR="00A67C69" w:rsidRPr="00566D06">
        <w:t xml:space="preserve">  </w:t>
      </w:r>
      <w:r w:rsidRPr="00566D06">
        <w:t>_____________________________</w:t>
      </w:r>
    </w:p>
    <w:p w:rsidR="00E348A8" w:rsidRPr="00566D06" w:rsidRDefault="00E348A8" w:rsidP="00E348A8">
      <w:pPr>
        <w:pStyle w:val="Normale2"/>
        <w:ind w:right="1135"/>
      </w:pPr>
    </w:p>
    <w:p w:rsidR="000955A4" w:rsidRPr="00566D06" w:rsidRDefault="000955A4" w:rsidP="000955A4">
      <w:pPr>
        <w:pStyle w:val="Normale2"/>
        <w:ind w:right="1135"/>
      </w:pPr>
      <w:r w:rsidRPr="00566D06">
        <w:t xml:space="preserve">il Responsabile Unico del Procedimento  </w:t>
      </w:r>
    </w:p>
    <w:p w:rsidR="00F050F3" w:rsidRPr="00566D06" w:rsidRDefault="00F050F3" w:rsidP="00A67C69">
      <w:pPr>
        <w:pStyle w:val="Normale2"/>
        <w:ind w:right="1135"/>
      </w:pPr>
    </w:p>
    <w:p w:rsidR="009B690F" w:rsidRDefault="00E348A8" w:rsidP="008D29CE">
      <w:pPr>
        <w:pStyle w:val="Normale2"/>
        <w:ind w:right="1135"/>
      </w:pPr>
      <w:r w:rsidRPr="00566D06">
        <w:t xml:space="preserve"> </w:t>
      </w:r>
      <w:r w:rsidR="0078259D" w:rsidRPr="00566D06">
        <w:tab/>
      </w:r>
      <w:r w:rsidR="0078259D" w:rsidRPr="00566D06">
        <w:tab/>
      </w:r>
      <w:r w:rsidR="0078259D" w:rsidRPr="00566D06">
        <w:tab/>
      </w:r>
      <w:r w:rsidR="0078259D" w:rsidRPr="00566D06">
        <w:tab/>
      </w:r>
      <w:r w:rsidR="0078259D" w:rsidRPr="00566D06">
        <w:tab/>
      </w:r>
      <w:r w:rsidR="0078259D" w:rsidRPr="00566D06">
        <w:tab/>
      </w:r>
      <w:r w:rsidRPr="00566D06">
        <w:t xml:space="preserve">  </w:t>
      </w:r>
      <w:r w:rsidR="007314B0" w:rsidRPr="00566D06">
        <w:t xml:space="preserve"> </w:t>
      </w:r>
      <w:r w:rsidRPr="00566D06">
        <w:t>______</w:t>
      </w:r>
      <w:r w:rsidR="0078259D" w:rsidRPr="00566D06">
        <w:t>_______</w:t>
      </w:r>
      <w:r w:rsidR="007314B0" w:rsidRPr="00566D06">
        <w:t>________________</w:t>
      </w:r>
    </w:p>
    <w:p w:rsidR="00EF23AE" w:rsidRDefault="00EF23AE" w:rsidP="008D29CE">
      <w:pPr>
        <w:pStyle w:val="Normale2"/>
        <w:ind w:right="1135"/>
      </w:pPr>
    </w:p>
    <w:sectPr w:rsidR="00EF23AE" w:rsidSect="00FC3A4D">
      <w:headerReference w:type="default" r:id="rId11"/>
      <w:footerReference w:type="default" r:id="rId12"/>
      <w:pgSz w:w="11906" w:h="16838"/>
      <w:pgMar w:top="1245" w:right="1134" w:bottom="1417" w:left="1134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3F" w:rsidRDefault="004A053F" w:rsidP="00274331">
      <w:pPr>
        <w:spacing w:after="0"/>
      </w:pPr>
      <w:r>
        <w:separator/>
      </w:r>
    </w:p>
  </w:endnote>
  <w:endnote w:type="continuationSeparator" w:id="0">
    <w:p w:rsidR="004A053F" w:rsidRDefault="004A053F" w:rsidP="00274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Segoe UI"/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-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7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5461"/>
      <w:gridCol w:w="4306"/>
    </w:tblGrid>
    <w:tr w:rsidR="00D87259" w:rsidTr="000D3511">
      <w:tc>
        <w:tcPr>
          <w:tcW w:w="5461" w:type="dxa"/>
        </w:tcPr>
        <w:p w:rsidR="00D87259" w:rsidRDefault="00D87259" w:rsidP="00B344A2">
          <w:pPr>
            <w:pStyle w:val="Pidipagina"/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06" w:type="dxa"/>
          <w:shd w:val="clear" w:color="auto" w:fill="auto"/>
        </w:tcPr>
        <w:p w:rsidR="00D87259" w:rsidRPr="00AE4080" w:rsidRDefault="004B333F" w:rsidP="000D3511">
          <w:pPr>
            <w:pStyle w:val="Pidipagina"/>
            <w:jc w:val="right"/>
            <w:rPr>
              <w:rFonts w:ascii="Calibri" w:hAnsi="Calibri"/>
              <w:sz w:val="16"/>
              <w:szCs w:val="16"/>
            </w:rPr>
          </w:pPr>
          <w:r w:rsidRPr="00AE4080">
            <w:rPr>
              <w:rStyle w:val="Numeropagina"/>
              <w:rFonts w:ascii="Calibri" w:hAnsi="Calibri"/>
              <w:sz w:val="16"/>
              <w:szCs w:val="16"/>
            </w:rPr>
            <w:fldChar w:fldCharType="begin"/>
          </w:r>
          <w:r w:rsidR="00D87259" w:rsidRPr="00AE4080">
            <w:rPr>
              <w:rStyle w:val="Numeropagina"/>
              <w:rFonts w:ascii="Calibri" w:hAnsi="Calibri"/>
              <w:sz w:val="16"/>
              <w:szCs w:val="16"/>
            </w:rPr>
            <w:instrText xml:space="preserve">PAGE  </w:instrText>
          </w:r>
          <w:r w:rsidRPr="00AE4080">
            <w:rPr>
              <w:rStyle w:val="Numeropagina"/>
              <w:rFonts w:ascii="Calibri" w:hAnsi="Calibri"/>
              <w:sz w:val="16"/>
              <w:szCs w:val="16"/>
            </w:rPr>
            <w:fldChar w:fldCharType="separate"/>
          </w:r>
          <w:r w:rsidR="009E7640">
            <w:rPr>
              <w:rStyle w:val="Numeropagina"/>
              <w:rFonts w:ascii="Calibri" w:hAnsi="Calibri"/>
              <w:noProof/>
              <w:sz w:val="16"/>
              <w:szCs w:val="16"/>
            </w:rPr>
            <w:t>14</w:t>
          </w:r>
          <w:r w:rsidRPr="00AE4080">
            <w:rPr>
              <w:rStyle w:val="Numeropagina"/>
              <w:rFonts w:ascii="Calibri" w:hAnsi="Calibri"/>
              <w:sz w:val="16"/>
              <w:szCs w:val="16"/>
            </w:rPr>
            <w:fldChar w:fldCharType="end"/>
          </w:r>
          <w:r w:rsidR="00D87259" w:rsidRPr="00AE4080">
            <w:rPr>
              <w:rStyle w:val="Numeropagina"/>
              <w:rFonts w:ascii="Calibri" w:hAnsi="Calibri"/>
              <w:sz w:val="16"/>
              <w:szCs w:val="16"/>
            </w:rPr>
            <w:t xml:space="preserve"> di </w:t>
          </w:r>
          <w:r w:rsidRPr="00AE4080">
            <w:rPr>
              <w:rStyle w:val="Numeropagina"/>
              <w:rFonts w:ascii="Calibri" w:hAnsi="Calibri"/>
              <w:sz w:val="16"/>
              <w:szCs w:val="16"/>
            </w:rPr>
            <w:fldChar w:fldCharType="begin"/>
          </w:r>
          <w:r w:rsidR="00D87259" w:rsidRPr="00AE4080">
            <w:rPr>
              <w:rStyle w:val="Numeropagina"/>
              <w:rFonts w:ascii="Calibri" w:hAnsi="Calibri"/>
              <w:sz w:val="16"/>
              <w:szCs w:val="16"/>
            </w:rPr>
            <w:instrText xml:space="preserve"> NUMPAGES </w:instrText>
          </w:r>
          <w:r w:rsidRPr="00AE4080">
            <w:rPr>
              <w:rStyle w:val="Numeropagina"/>
              <w:rFonts w:ascii="Calibri" w:hAnsi="Calibri"/>
              <w:sz w:val="16"/>
              <w:szCs w:val="16"/>
            </w:rPr>
            <w:fldChar w:fldCharType="separate"/>
          </w:r>
          <w:r w:rsidR="009E7640">
            <w:rPr>
              <w:rStyle w:val="Numeropagina"/>
              <w:rFonts w:ascii="Calibri" w:hAnsi="Calibri"/>
              <w:noProof/>
              <w:sz w:val="16"/>
              <w:szCs w:val="16"/>
            </w:rPr>
            <w:t>14</w:t>
          </w:r>
          <w:r w:rsidRPr="00AE4080">
            <w:rPr>
              <w:rStyle w:val="Numeropa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D87259" w:rsidRPr="001E6FFB" w:rsidRDefault="00D87259" w:rsidP="001E6FFB">
    <w:pPr>
      <w:spacing w:after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3F" w:rsidRDefault="004A053F" w:rsidP="00274331">
      <w:pPr>
        <w:spacing w:after="0"/>
      </w:pPr>
      <w:r>
        <w:separator/>
      </w:r>
    </w:p>
  </w:footnote>
  <w:footnote w:type="continuationSeparator" w:id="0">
    <w:p w:rsidR="004A053F" w:rsidRDefault="004A053F" w:rsidP="00274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236"/>
      <w:gridCol w:w="3276"/>
      <w:gridCol w:w="2126"/>
    </w:tblGrid>
    <w:tr w:rsidR="00FC3A4D" w:rsidTr="006C3560">
      <w:trPr>
        <w:trHeight w:val="855"/>
      </w:trPr>
      <w:tc>
        <w:tcPr>
          <w:tcW w:w="4236" w:type="dxa"/>
          <w:shd w:val="clear" w:color="auto" w:fill="auto"/>
          <w:vAlign w:val="center"/>
        </w:tcPr>
        <w:p w:rsidR="00FC3A4D" w:rsidRPr="00CB300D" w:rsidRDefault="00FC3A4D" w:rsidP="00FC3A4D">
          <w:pPr>
            <w:pStyle w:val="Intestazione"/>
            <w:rPr>
              <w:rFonts w:ascii="Arial" w:hAnsi="Arial"/>
              <w:b/>
            </w:rPr>
          </w:pPr>
          <w:bookmarkStart w:id="5" w:name="_Hlk482951128"/>
          <w:r w:rsidRPr="00CB300D">
            <w:rPr>
              <w:rFonts w:ascii="Arial" w:hAnsi="Arial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shd w:val="clear" w:color="auto" w:fill="auto"/>
          <w:vAlign w:val="center"/>
        </w:tcPr>
        <w:p w:rsidR="00FC3A4D" w:rsidRPr="00CB300D" w:rsidRDefault="008D29CE" w:rsidP="008D29C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98901" cy="604574"/>
                <wp:effectExtent l="0" t="0" r="1270" b="508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840" cy="610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FC3A4D" w:rsidRPr="00CB300D" w:rsidRDefault="00FC3A4D" w:rsidP="00FC3A4D">
          <w:pPr>
            <w:pStyle w:val="Intestazione"/>
            <w:jc w:val="right"/>
            <w:rPr>
              <w:rFonts w:ascii="Arial" w:hAnsi="Arial"/>
            </w:rPr>
          </w:pPr>
          <w:r w:rsidRPr="00CB300D">
            <w:rPr>
              <w:rFonts w:ascii="Arial" w:hAnsi="Arial"/>
              <w:noProof/>
            </w:rPr>
            <w:drawing>
              <wp:inline distT="0" distB="0" distL="0" distR="0">
                <wp:extent cx="1028700" cy="449580"/>
                <wp:effectExtent l="0" t="0" r="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:rsidR="00FC3A4D" w:rsidRPr="00FC3A4D" w:rsidRDefault="00FC3A4D" w:rsidP="00FC3A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8E8"/>
    <w:multiLevelType w:val="hybridMultilevel"/>
    <w:tmpl w:val="03FAD79A"/>
    <w:lvl w:ilvl="0" w:tplc="2EB67D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A42626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8030877"/>
    <w:multiLevelType w:val="hybridMultilevel"/>
    <w:tmpl w:val="FB9671D0"/>
    <w:lvl w:ilvl="0" w:tplc="F1A844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5D52"/>
    <w:multiLevelType w:val="multilevel"/>
    <w:tmpl w:val="5F7CA330"/>
    <w:lvl w:ilvl="0">
      <w:start w:val="1"/>
      <w:numFmt w:val="lowerLetter"/>
      <w:pStyle w:val="a5bElencopuntatolettere"/>
      <w:lvlText w:val="%1)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57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0E575D"/>
    <w:multiLevelType w:val="hybridMultilevel"/>
    <w:tmpl w:val="B60A2A08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57C726A"/>
    <w:multiLevelType w:val="hybridMultilevel"/>
    <w:tmpl w:val="55FE790C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162409E8"/>
    <w:multiLevelType w:val="hybridMultilevel"/>
    <w:tmpl w:val="5E8EFC6A"/>
    <w:lvl w:ilvl="0" w:tplc="2EB67D0C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581748"/>
    <w:multiLevelType w:val="hybridMultilevel"/>
    <w:tmpl w:val="442A7C76"/>
    <w:lvl w:ilvl="0" w:tplc="0410000F">
      <w:start w:val="1"/>
      <w:numFmt w:val="decimal"/>
      <w:lvlText w:val="%1.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AA65C6"/>
    <w:multiLevelType w:val="hybridMultilevel"/>
    <w:tmpl w:val="58AC15D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D07CB4"/>
    <w:multiLevelType w:val="hybridMultilevel"/>
    <w:tmpl w:val="8F923FC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37417F75"/>
    <w:multiLevelType w:val="hybridMultilevel"/>
    <w:tmpl w:val="920C53F4"/>
    <w:lvl w:ilvl="0" w:tplc="7DD4D62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3A202D95"/>
    <w:multiLevelType w:val="hybridMultilevel"/>
    <w:tmpl w:val="E1D8C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B04BC"/>
    <w:multiLevelType w:val="hybridMultilevel"/>
    <w:tmpl w:val="0B74A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20122"/>
    <w:multiLevelType w:val="hybridMultilevel"/>
    <w:tmpl w:val="4F78061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CF87CFB"/>
    <w:multiLevelType w:val="hybridMultilevel"/>
    <w:tmpl w:val="0D32B4F2"/>
    <w:lvl w:ilvl="0" w:tplc="04100011">
      <w:start w:val="1"/>
      <w:numFmt w:val="decimal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4EC75E64"/>
    <w:multiLevelType w:val="hybridMultilevel"/>
    <w:tmpl w:val="55FE790C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51BA09CF"/>
    <w:multiLevelType w:val="hybridMultilevel"/>
    <w:tmpl w:val="0832B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964BB"/>
    <w:multiLevelType w:val="hybridMultilevel"/>
    <w:tmpl w:val="2D7E9B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B9359B"/>
    <w:multiLevelType w:val="hybridMultilevel"/>
    <w:tmpl w:val="525885D8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9702B0B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BC24EE"/>
    <w:multiLevelType w:val="hybridMultilevel"/>
    <w:tmpl w:val="7A6AD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E5749"/>
    <w:multiLevelType w:val="hybridMultilevel"/>
    <w:tmpl w:val="8AFA36D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F0F1B5D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5FF462F5"/>
    <w:multiLevelType w:val="hybridMultilevel"/>
    <w:tmpl w:val="4D2C0378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6209418F"/>
    <w:multiLevelType w:val="hybridMultilevel"/>
    <w:tmpl w:val="99107D86"/>
    <w:lvl w:ilvl="0" w:tplc="0410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5" w15:restartNumberingAfterBreak="0">
    <w:nsid w:val="62BB6AC7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62F944DE"/>
    <w:multiLevelType w:val="hybridMultilevel"/>
    <w:tmpl w:val="E3EC988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9EA6BBCC">
      <w:numFmt w:val="bullet"/>
      <w:lvlText w:val="-"/>
      <w:lvlJc w:val="left"/>
      <w:pPr>
        <w:ind w:left="1894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63D7044E"/>
    <w:multiLevelType w:val="multilevel"/>
    <w:tmpl w:val="A4222422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84853B3"/>
    <w:multiLevelType w:val="hybridMultilevel"/>
    <w:tmpl w:val="3CB08910"/>
    <w:lvl w:ilvl="0" w:tplc="BF5CA6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6787F"/>
    <w:multiLevelType w:val="hybridMultilevel"/>
    <w:tmpl w:val="23DC0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E2437"/>
    <w:multiLevelType w:val="hybridMultilevel"/>
    <w:tmpl w:val="2DA44BDC"/>
    <w:lvl w:ilvl="0" w:tplc="0410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6EDC4D50"/>
    <w:multiLevelType w:val="hybridMultilevel"/>
    <w:tmpl w:val="223809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16B12"/>
    <w:multiLevelType w:val="hybridMultilevel"/>
    <w:tmpl w:val="D826CF52"/>
    <w:lvl w:ilvl="0" w:tplc="E6DC0D72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19C3556"/>
    <w:multiLevelType w:val="hybridMultilevel"/>
    <w:tmpl w:val="68A2774A"/>
    <w:lvl w:ilvl="0" w:tplc="9A541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7BAF"/>
    <w:multiLevelType w:val="hybridMultilevel"/>
    <w:tmpl w:val="DC4CD0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EA44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866EE"/>
    <w:multiLevelType w:val="hybridMultilevel"/>
    <w:tmpl w:val="11E6FF28"/>
    <w:lvl w:ilvl="0" w:tplc="9EA6BBCC">
      <w:numFmt w:val="bullet"/>
      <w:lvlText w:val="-"/>
      <w:lvlJc w:val="left"/>
      <w:pPr>
        <w:ind w:left="15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7" w15:restartNumberingAfterBreak="0">
    <w:nsid w:val="752D11B9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8" w15:restartNumberingAfterBreak="0">
    <w:nsid w:val="75905A56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76C64CCB"/>
    <w:multiLevelType w:val="hybridMultilevel"/>
    <w:tmpl w:val="442A7C76"/>
    <w:lvl w:ilvl="0" w:tplc="0410000F">
      <w:start w:val="1"/>
      <w:numFmt w:val="decimal"/>
      <w:lvlText w:val="%1.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0" w15:restartNumberingAfterBreak="0">
    <w:nsid w:val="77A36CF9"/>
    <w:multiLevelType w:val="hybridMultilevel"/>
    <w:tmpl w:val="CCD46A0A"/>
    <w:lvl w:ilvl="0" w:tplc="53DA40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26"/>
  </w:num>
  <w:num w:numId="4">
    <w:abstractNumId w:val="10"/>
  </w:num>
  <w:num w:numId="5">
    <w:abstractNumId w:val="18"/>
  </w:num>
  <w:num w:numId="6">
    <w:abstractNumId w:val="5"/>
  </w:num>
  <w:num w:numId="7">
    <w:abstractNumId w:val="15"/>
  </w:num>
  <w:num w:numId="8">
    <w:abstractNumId w:val="3"/>
  </w:num>
  <w:num w:numId="9">
    <w:abstractNumId w:val="25"/>
  </w:num>
  <w:num w:numId="10">
    <w:abstractNumId w:val="31"/>
  </w:num>
  <w:num w:numId="11">
    <w:abstractNumId w:val="8"/>
  </w:num>
  <w:num w:numId="12">
    <w:abstractNumId w:val="24"/>
  </w:num>
  <w:num w:numId="13">
    <w:abstractNumId w:val="34"/>
  </w:num>
  <w:num w:numId="14">
    <w:abstractNumId w:val="28"/>
  </w:num>
  <w:num w:numId="15">
    <w:abstractNumId w:val="17"/>
  </w:num>
  <w:num w:numId="16">
    <w:abstractNumId w:val="30"/>
  </w:num>
  <w:num w:numId="17">
    <w:abstractNumId w:val="1"/>
  </w:num>
  <w:num w:numId="18">
    <w:abstractNumId w:val="22"/>
  </w:num>
  <w:num w:numId="19">
    <w:abstractNumId w:val="38"/>
  </w:num>
  <w:num w:numId="20">
    <w:abstractNumId w:val="12"/>
  </w:num>
  <w:num w:numId="21">
    <w:abstractNumId w:val="13"/>
  </w:num>
  <w:num w:numId="22">
    <w:abstractNumId w:val="16"/>
  </w:num>
  <w:num w:numId="23">
    <w:abstractNumId w:val="20"/>
  </w:num>
  <w:num w:numId="24">
    <w:abstractNumId w:val="36"/>
  </w:num>
  <w:num w:numId="25">
    <w:abstractNumId w:val="4"/>
  </w:num>
  <w:num w:numId="26">
    <w:abstractNumId w:val="39"/>
  </w:num>
  <w:num w:numId="27">
    <w:abstractNumId w:val="7"/>
  </w:num>
  <w:num w:numId="28">
    <w:abstractNumId w:val="29"/>
  </w:num>
  <w:num w:numId="29">
    <w:abstractNumId w:val="9"/>
  </w:num>
  <w:num w:numId="30">
    <w:abstractNumId w:val="23"/>
  </w:num>
  <w:num w:numId="31">
    <w:abstractNumId w:val="27"/>
  </w:num>
  <w:num w:numId="32">
    <w:abstractNumId w:val="35"/>
  </w:num>
  <w:num w:numId="33">
    <w:abstractNumId w:val="2"/>
  </w:num>
  <w:num w:numId="34">
    <w:abstractNumId w:val="32"/>
  </w:num>
  <w:num w:numId="35">
    <w:abstractNumId w:val="21"/>
  </w:num>
  <w:num w:numId="36">
    <w:abstractNumId w:val="19"/>
  </w:num>
  <w:num w:numId="37">
    <w:abstractNumId w:val="14"/>
  </w:num>
  <w:num w:numId="38">
    <w:abstractNumId w:val="6"/>
  </w:num>
  <w:num w:numId="39">
    <w:abstractNumId w:val="0"/>
  </w:num>
  <w:num w:numId="40">
    <w:abstractNumId w:val="40"/>
  </w:num>
  <w:num w:numId="4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31"/>
    <w:rsid w:val="0000122E"/>
    <w:rsid w:val="0000123F"/>
    <w:rsid w:val="000027AF"/>
    <w:rsid w:val="00004E91"/>
    <w:rsid w:val="00013E47"/>
    <w:rsid w:val="00016BF3"/>
    <w:rsid w:val="00020C5E"/>
    <w:rsid w:val="000325F3"/>
    <w:rsid w:val="000344B4"/>
    <w:rsid w:val="0003560D"/>
    <w:rsid w:val="00037F28"/>
    <w:rsid w:val="00045547"/>
    <w:rsid w:val="000457FA"/>
    <w:rsid w:val="0004653C"/>
    <w:rsid w:val="00054DDB"/>
    <w:rsid w:val="00056186"/>
    <w:rsid w:val="000638D5"/>
    <w:rsid w:val="00064C39"/>
    <w:rsid w:val="00076462"/>
    <w:rsid w:val="00077580"/>
    <w:rsid w:val="000944C5"/>
    <w:rsid w:val="000955A4"/>
    <w:rsid w:val="000A15FE"/>
    <w:rsid w:val="000A2742"/>
    <w:rsid w:val="000A4855"/>
    <w:rsid w:val="000B0285"/>
    <w:rsid w:val="000B07A9"/>
    <w:rsid w:val="000B18B7"/>
    <w:rsid w:val="000B2DB2"/>
    <w:rsid w:val="000C53A3"/>
    <w:rsid w:val="000D3511"/>
    <w:rsid w:val="000D48DF"/>
    <w:rsid w:val="000D6041"/>
    <w:rsid w:val="000D6525"/>
    <w:rsid w:val="000D7688"/>
    <w:rsid w:val="000E3D45"/>
    <w:rsid w:val="000E6C9C"/>
    <w:rsid w:val="000E7E49"/>
    <w:rsid w:val="00104DA5"/>
    <w:rsid w:val="0010504E"/>
    <w:rsid w:val="00113C90"/>
    <w:rsid w:val="001234CC"/>
    <w:rsid w:val="00126F45"/>
    <w:rsid w:val="0013140C"/>
    <w:rsid w:val="00135641"/>
    <w:rsid w:val="00140FEC"/>
    <w:rsid w:val="00144948"/>
    <w:rsid w:val="00160D4F"/>
    <w:rsid w:val="001642BC"/>
    <w:rsid w:val="00166839"/>
    <w:rsid w:val="00170CB2"/>
    <w:rsid w:val="001753CD"/>
    <w:rsid w:val="00190E8D"/>
    <w:rsid w:val="00192687"/>
    <w:rsid w:val="00193C90"/>
    <w:rsid w:val="0019503B"/>
    <w:rsid w:val="001A0ABA"/>
    <w:rsid w:val="001A63CE"/>
    <w:rsid w:val="001A758E"/>
    <w:rsid w:val="001B0A4E"/>
    <w:rsid w:val="001B45D7"/>
    <w:rsid w:val="001B615C"/>
    <w:rsid w:val="001C356E"/>
    <w:rsid w:val="001C4E9C"/>
    <w:rsid w:val="001C7B85"/>
    <w:rsid w:val="001D063C"/>
    <w:rsid w:val="001D19EF"/>
    <w:rsid w:val="001D4385"/>
    <w:rsid w:val="001D795C"/>
    <w:rsid w:val="001E6FFB"/>
    <w:rsid w:val="001F32A9"/>
    <w:rsid w:val="00203D73"/>
    <w:rsid w:val="00203E63"/>
    <w:rsid w:val="00204BFD"/>
    <w:rsid w:val="00207CE6"/>
    <w:rsid w:val="00211611"/>
    <w:rsid w:val="00211A85"/>
    <w:rsid w:val="002210EE"/>
    <w:rsid w:val="00225F03"/>
    <w:rsid w:val="00235C33"/>
    <w:rsid w:val="00242BBE"/>
    <w:rsid w:val="002442AF"/>
    <w:rsid w:val="00245BD9"/>
    <w:rsid w:val="00246BCB"/>
    <w:rsid w:val="00254973"/>
    <w:rsid w:val="002549A1"/>
    <w:rsid w:val="00256358"/>
    <w:rsid w:val="00261D0D"/>
    <w:rsid w:val="002727BF"/>
    <w:rsid w:val="00274331"/>
    <w:rsid w:val="0027541F"/>
    <w:rsid w:val="00280820"/>
    <w:rsid w:val="002814C3"/>
    <w:rsid w:val="00281BA3"/>
    <w:rsid w:val="00283941"/>
    <w:rsid w:val="00290EF2"/>
    <w:rsid w:val="002911BD"/>
    <w:rsid w:val="002A6898"/>
    <w:rsid w:val="002B5F0B"/>
    <w:rsid w:val="002B67CC"/>
    <w:rsid w:val="002B7C1E"/>
    <w:rsid w:val="002C0E62"/>
    <w:rsid w:val="002C257A"/>
    <w:rsid w:val="002C3E41"/>
    <w:rsid w:val="002C47C8"/>
    <w:rsid w:val="002D0BF9"/>
    <w:rsid w:val="002D6377"/>
    <w:rsid w:val="002D6472"/>
    <w:rsid w:val="002D74CC"/>
    <w:rsid w:val="002E1DE8"/>
    <w:rsid w:val="002E363B"/>
    <w:rsid w:val="003001CA"/>
    <w:rsid w:val="0030417C"/>
    <w:rsid w:val="0031089B"/>
    <w:rsid w:val="00315224"/>
    <w:rsid w:val="003157C4"/>
    <w:rsid w:val="003158F0"/>
    <w:rsid w:val="00315917"/>
    <w:rsid w:val="003168FC"/>
    <w:rsid w:val="0032119B"/>
    <w:rsid w:val="00321986"/>
    <w:rsid w:val="00323E5B"/>
    <w:rsid w:val="00327E14"/>
    <w:rsid w:val="003608C8"/>
    <w:rsid w:val="00363470"/>
    <w:rsid w:val="00370786"/>
    <w:rsid w:val="00377150"/>
    <w:rsid w:val="00380CBB"/>
    <w:rsid w:val="00385168"/>
    <w:rsid w:val="00387D79"/>
    <w:rsid w:val="00392515"/>
    <w:rsid w:val="00393832"/>
    <w:rsid w:val="00394274"/>
    <w:rsid w:val="00395233"/>
    <w:rsid w:val="00395625"/>
    <w:rsid w:val="003A02FA"/>
    <w:rsid w:val="003A1923"/>
    <w:rsid w:val="003A4375"/>
    <w:rsid w:val="003A677E"/>
    <w:rsid w:val="003B0E49"/>
    <w:rsid w:val="003B59B0"/>
    <w:rsid w:val="003D4C5E"/>
    <w:rsid w:val="003E1585"/>
    <w:rsid w:val="003E343F"/>
    <w:rsid w:val="003E36A6"/>
    <w:rsid w:val="003F1BF5"/>
    <w:rsid w:val="00402A6B"/>
    <w:rsid w:val="004030A4"/>
    <w:rsid w:val="0040366B"/>
    <w:rsid w:val="00406D9F"/>
    <w:rsid w:val="0041217D"/>
    <w:rsid w:val="0041395C"/>
    <w:rsid w:val="004172F2"/>
    <w:rsid w:val="00420C71"/>
    <w:rsid w:val="0042190E"/>
    <w:rsid w:val="00421D4C"/>
    <w:rsid w:val="00425DE5"/>
    <w:rsid w:val="00432549"/>
    <w:rsid w:val="00433BF4"/>
    <w:rsid w:val="0043478E"/>
    <w:rsid w:val="00436AFB"/>
    <w:rsid w:val="00442C24"/>
    <w:rsid w:val="00446B67"/>
    <w:rsid w:val="004508C8"/>
    <w:rsid w:val="00454CA1"/>
    <w:rsid w:val="004579E2"/>
    <w:rsid w:val="00465460"/>
    <w:rsid w:val="004711D8"/>
    <w:rsid w:val="00476F14"/>
    <w:rsid w:val="00477074"/>
    <w:rsid w:val="00477DE1"/>
    <w:rsid w:val="00477FD7"/>
    <w:rsid w:val="00481C74"/>
    <w:rsid w:val="004850BF"/>
    <w:rsid w:val="00487093"/>
    <w:rsid w:val="004874A5"/>
    <w:rsid w:val="004909B5"/>
    <w:rsid w:val="00493011"/>
    <w:rsid w:val="00494ACE"/>
    <w:rsid w:val="004A0224"/>
    <w:rsid w:val="004A053F"/>
    <w:rsid w:val="004A217C"/>
    <w:rsid w:val="004A46F6"/>
    <w:rsid w:val="004A67EE"/>
    <w:rsid w:val="004B10E4"/>
    <w:rsid w:val="004B2420"/>
    <w:rsid w:val="004B333F"/>
    <w:rsid w:val="004C19CE"/>
    <w:rsid w:val="004E2CC0"/>
    <w:rsid w:val="004E355D"/>
    <w:rsid w:val="00501F68"/>
    <w:rsid w:val="005057AD"/>
    <w:rsid w:val="00506762"/>
    <w:rsid w:val="0050740F"/>
    <w:rsid w:val="005116C2"/>
    <w:rsid w:val="005131C0"/>
    <w:rsid w:val="00513BFE"/>
    <w:rsid w:val="00525D3D"/>
    <w:rsid w:val="0053565A"/>
    <w:rsid w:val="0053662C"/>
    <w:rsid w:val="005404F4"/>
    <w:rsid w:val="005463CD"/>
    <w:rsid w:val="00561A83"/>
    <w:rsid w:val="005622F3"/>
    <w:rsid w:val="00566D06"/>
    <w:rsid w:val="0056701A"/>
    <w:rsid w:val="005707DA"/>
    <w:rsid w:val="00571EA1"/>
    <w:rsid w:val="00572187"/>
    <w:rsid w:val="005837F5"/>
    <w:rsid w:val="00585118"/>
    <w:rsid w:val="00585F5E"/>
    <w:rsid w:val="00590D30"/>
    <w:rsid w:val="005914FD"/>
    <w:rsid w:val="005962AD"/>
    <w:rsid w:val="005963E7"/>
    <w:rsid w:val="00597359"/>
    <w:rsid w:val="005B4760"/>
    <w:rsid w:val="005B4D64"/>
    <w:rsid w:val="005C0BBD"/>
    <w:rsid w:val="005C4F3C"/>
    <w:rsid w:val="005D6AD2"/>
    <w:rsid w:val="005E3176"/>
    <w:rsid w:val="005E6FD8"/>
    <w:rsid w:val="005E7195"/>
    <w:rsid w:val="005F4C24"/>
    <w:rsid w:val="005F5692"/>
    <w:rsid w:val="00613E4D"/>
    <w:rsid w:val="00617ADF"/>
    <w:rsid w:val="00624D8C"/>
    <w:rsid w:val="00627E93"/>
    <w:rsid w:val="00631BE9"/>
    <w:rsid w:val="00637B17"/>
    <w:rsid w:val="00637C15"/>
    <w:rsid w:val="00643228"/>
    <w:rsid w:val="00644B13"/>
    <w:rsid w:val="006467F2"/>
    <w:rsid w:val="00652B75"/>
    <w:rsid w:val="006636BE"/>
    <w:rsid w:val="006641BE"/>
    <w:rsid w:val="00664B07"/>
    <w:rsid w:val="00680D6F"/>
    <w:rsid w:val="0068157B"/>
    <w:rsid w:val="00694D5D"/>
    <w:rsid w:val="00697F3B"/>
    <w:rsid w:val="006A10B5"/>
    <w:rsid w:val="006A316B"/>
    <w:rsid w:val="006A47C6"/>
    <w:rsid w:val="006B1465"/>
    <w:rsid w:val="006B5159"/>
    <w:rsid w:val="006C0736"/>
    <w:rsid w:val="006C1DDD"/>
    <w:rsid w:val="006C4E7D"/>
    <w:rsid w:val="006C6CA1"/>
    <w:rsid w:val="006C7B9E"/>
    <w:rsid w:val="006D10C9"/>
    <w:rsid w:val="006D1C62"/>
    <w:rsid w:val="006D677F"/>
    <w:rsid w:val="006E0A6C"/>
    <w:rsid w:val="006E1FF3"/>
    <w:rsid w:val="006E54D5"/>
    <w:rsid w:val="006F17D8"/>
    <w:rsid w:val="0070004C"/>
    <w:rsid w:val="00703A2F"/>
    <w:rsid w:val="00703DDF"/>
    <w:rsid w:val="007041D8"/>
    <w:rsid w:val="00712124"/>
    <w:rsid w:val="007161D5"/>
    <w:rsid w:val="007218AC"/>
    <w:rsid w:val="007314B0"/>
    <w:rsid w:val="007322ED"/>
    <w:rsid w:val="007340F2"/>
    <w:rsid w:val="00734FCF"/>
    <w:rsid w:val="007377A8"/>
    <w:rsid w:val="007447DC"/>
    <w:rsid w:val="00746187"/>
    <w:rsid w:val="007477AA"/>
    <w:rsid w:val="0076463B"/>
    <w:rsid w:val="007714A8"/>
    <w:rsid w:val="00771AC9"/>
    <w:rsid w:val="00780A0D"/>
    <w:rsid w:val="0078205C"/>
    <w:rsid w:val="0078259D"/>
    <w:rsid w:val="00782D58"/>
    <w:rsid w:val="007839C3"/>
    <w:rsid w:val="007A37FA"/>
    <w:rsid w:val="007A766C"/>
    <w:rsid w:val="007A7C72"/>
    <w:rsid w:val="007B6D95"/>
    <w:rsid w:val="007C6799"/>
    <w:rsid w:val="007C6B17"/>
    <w:rsid w:val="007D0199"/>
    <w:rsid w:val="007D3C12"/>
    <w:rsid w:val="007D64DD"/>
    <w:rsid w:val="007D7EC4"/>
    <w:rsid w:val="007E6C97"/>
    <w:rsid w:val="007F2733"/>
    <w:rsid w:val="007F5B60"/>
    <w:rsid w:val="007F7E0F"/>
    <w:rsid w:val="00800951"/>
    <w:rsid w:val="00807E60"/>
    <w:rsid w:val="00811596"/>
    <w:rsid w:val="0081369A"/>
    <w:rsid w:val="008173CC"/>
    <w:rsid w:val="0082115B"/>
    <w:rsid w:val="0082175E"/>
    <w:rsid w:val="00831910"/>
    <w:rsid w:val="00833D93"/>
    <w:rsid w:val="00844D87"/>
    <w:rsid w:val="008456E3"/>
    <w:rsid w:val="00845EC5"/>
    <w:rsid w:val="00846F04"/>
    <w:rsid w:val="00854A1F"/>
    <w:rsid w:val="00857C25"/>
    <w:rsid w:val="00864809"/>
    <w:rsid w:val="00874167"/>
    <w:rsid w:val="008805F3"/>
    <w:rsid w:val="00880BEC"/>
    <w:rsid w:val="008832B6"/>
    <w:rsid w:val="00892EC5"/>
    <w:rsid w:val="0089382A"/>
    <w:rsid w:val="0089695E"/>
    <w:rsid w:val="008A0552"/>
    <w:rsid w:val="008A1C87"/>
    <w:rsid w:val="008A30BB"/>
    <w:rsid w:val="008A5844"/>
    <w:rsid w:val="008A7986"/>
    <w:rsid w:val="008B25B8"/>
    <w:rsid w:val="008B2C1B"/>
    <w:rsid w:val="008B3CD2"/>
    <w:rsid w:val="008C216A"/>
    <w:rsid w:val="008C4C92"/>
    <w:rsid w:val="008D29CE"/>
    <w:rsid w:val="008F1650"/>
    <w:rsid w:val="008F6CDA"/>
    <w:rsid w:val="008F72F4"/>
    <w:rsid w:val="009009E0"/>
    <w:rsid w:val="009011EF"/>
    <w:rsid w:val="00905BEA"/>
    <w:rsid w:val="00906C08"/>
    <w:rsid w:val="0091042E"/>
    <w:rsid w:val="0091215C"/>
    <w:rsid w:val="00922812"/>
    <w:rsid w:val="00922A44"/>
    <w:rsid w:val="00924D0B"/>
    <w:rsid w:val="00927FAE"/>
    <w:rsid w:val="009339A1"/>
    <w:rsid w:val="00935C24"/>
    <w:rsid w:val="00941D7B"/>
    <w:rsid w:val="009515E7"/>
    <w:rsid w:val="00951BAD"/>
    <w:rsid w:val="00954C9D"/>
    <w:rsid w:val="00963A49"/>
    <w:rsid w:val="00965B95"/>
    <w:rsid w:val="00966491"/>
    <w:rsid w:val="00975A7D"/>
    <w:rsid w:val="009777EB"/>
    <w:rsid w:val="0098013F"/>
    <w:rsid w:val="0098523C"/>
    <w:rsid w:val="009A28FF"/>
    <w:rsid w:val="009A5443"/>
    <w:rsid w:val="009B690F"/>
    <w:rsid w:val="009B7126"/>
    <w:rsid w:val="009B7467"/>
    <w:rsid w:val="009B7E19"/>
    <w:rsid w:val="009C0B5B"/>
    <w:rsid w:val="009C618E"/>
    <w:rsid w:val="009D07AC"/>
    <w:rsid w:val="009D0B08"/>
    <w:rsid w:val="009E084F"/>
    <w:rsid w:val="009E4DBD"/>
    <w:rsid w:val="009E7640"/>
    <w:rsid w:val="009F3066"/>
    <w:rsid w:val="009F5A3F"/>
    <w:rsid w:val="00A02D88"/>
    <w:rsid w:val="00A063A6"/>
    <w:rsid w:val="00A1274D"/>
    <w:rsid w:val="00A14880"/>
    <w:rsid w:val="00A14B33"/>
    <w:rsid w:val="00A2134B"/>
    <w:rsid w:val="00A2366A"/>
    <w:rsid w:val="00A24493"/>
    <w:rsid w:val="00A24F4C"/>
    <w:rsid w:val="00A27F4B"/>
    <w:rsid w:val="00A33CE5"/>
    <w:rsid w:val="00A3551A"/>
    <w:rsid w:val="00A36E36"/>
    <w:rsid w:val="00A47EC2"/>
    <w:rsid w:val="00A5798E"/>
    <w:rsid w:val="00A67C69"/>
    <w:rsid w:val="00A811C9"/>
    <w:rsid w:val="00A8245A"/>
    <w:rsid w:val="00A90DF0"/>
    <w:rsid w:val="00A93BE6"/>
    <w:rsid w:val="00AA3953"/>
    <w:rsid w:val="00AA7A97"/>
    <w:rsid w:val="00AB0B7E"/>
    <w:rsid w:val="00AB1D18"/>
    <w:rsid w:val="00AB7969"/>
    <w:rsid w:val="00AC4B4E"/>
    <w:rsid w:val="00AD170F"/>
    <w:rsid w:val="00AD24AB"/>
    <w:rsid w:val="00AD572E"/>
    <w:rsid w:val="00AE1AC7"/>
    <w:rsid w:val="00AE3D7D"/>
    <w:rsid w:val="00AE4080"/>
    <w:rsid w:val="00AF54D7"/>
    <w:rsid w:val="00B03902"/>
    <w:rsid w:val="00B06417"/>
    <w:rsid w:val="00B06C7D"/>
    <w:rsid w:val="00B130DA"/>
    <w:rsid w:val="00B1353F"/>
    <w:rsid w:val="00B13CA3"/>
    <w:rsid w:val="00B23D87"/>
    <w:rsid w:val="00B24DF7"/>
    <w:rsid w:val="00B26E1A"/>
    <w:rsid w:val="00B27CA2"/>
    <w:rsid w:val="00B31FEF"/>
    <w:rsid w:val="00B3248E"/>
    <w:rsid w:val="00B33488"/>
    <w:rsid w:val="00B344A2"/>
    <w:rsid w:val="00B3694A"/>
    <w:rsid w:val="00B4230E"/>
    <w:rsid w:val="00B42D0A"/>
    <w:rsid w:val="00B56039"/>
    <w:rsid w:val="00B5680C"/>
    <w:rsid w:val="00B710C0"/>
    <w:rsid w:val="00B84A03"/>
    <w:rsid w:val="00B87235"/>
    <w:rsid w:val="00B9042F"/>
    <w:rsid w:val="00B937CC"/>
    <w:rsid w:val="00B953CC"/>
    <w:rsid w:val="00BA4BF7"/>
    <w:rsid w:val="00BB2599"/>
    <w:rsid w:val="00BB72CA"/>
    <w:rsid w:val="00BC12FF"/>
    <w:rsid w:val="00BC5711"/>
    <w:rsid w:val="00BD19BA"/>
    <w:rsid w:val="00BD382D"/>
    <w:rsid w:val="00BD3D4D"/>
    <w:rsid w:val="00BE02D9"/>
    <w:rsid w:val="00BE5EA5"/>
    <w:rsid w:val="00C05B0C"/>
    <w:rsid w:val="00C1010A"/>
    <w:rsid w:val="00C1422D"/>
    <w:rsid w:val="00C14BE8"/>
    <w:rsid w:val="00C178C0"/>
    <w:rsid w:val="00C207D6"/>
    <w:rsid w:val="00C20B89"/>
    <w:rsid w:val="00C31E04"/>
    <w:rsid w:val="00C3322A"/>
    <w:rsid w:val="00C36E84"/>
    <w:rsid w:val="00C41247"/>
    <w:rsid w:val="00C41F6E"/>
    <w:rsid w:val="00C472F4"/>
    <w:rsid w:val="00C525F4"/>
    <w:rsid w:val="00C532AF"/>
    <w:rsid w:val="00C5371D"/>
    <w:rsid w:val="00C64009"/>
    <w:rsid w:val="00C647A5"/>
    <w:rsid w:val="00C64912"/>
    <w:rsid w:val="00C64993"/>
    <w:rsid w:val="00C651B0"/>
    <w:rsid w:val="00C720A5"/>
    <w:rsid w:val="00C81837"/>
    <w:rsid w:val="00C82B8B"/>
    <w:rsid w:val="00C871B1"/>
    <w:rsid w:val="00C94861"/>
    <w:rsid w:val="00CA5542"/>
    <w:rsid w:val="00CA5FEB"/>
    <w:rsid w:val="00CA61D1"/>
    <w:rsid w:val="00CA64C0"/>
    <w:rsid w:val="00CB1C12"/>
    <w:rsid w:val="00CB54C5"/>
    <w:rsid w:val="00CC2172"/>
    <w:rsid w:val="00CD4B93"/>
    <w:rsid w:val="00CD4D67"/>
    <w:rsid w:val="00CF49C2"/>
    <w:rsid w:val="00CF74DA"/>
    <w:rsid w:val="00D13FAA"/>
    <w:rsid w:val="00D24551"/>
    <w:rsid w:val="00D247BC"/>
    <w:rsid w:val="00D25550"/>
    <w:rsid w:val="00D47191"/>
    <w:rsid w:val="00D509CC"/>
    <w:rsid w:val="00D6146B"/>
    <w:rsid w:val="00D62CA3"/>
    <w:rsid w:val="00D65BAC"/>
    <w:rsid w:val="00D71B61"/>
    <w:rsid w:val="00D71F61"/>
    <w:rsid w:val="00D76359"/>
    <w:rsid w:val="00D80FAE"/>
    <w:rsid w:val="00D83DA7"/>
    <w:rsid w:val="00D87259"/>
    <w:rsid w:val="00D90FCA"/>
    <w:rsid w:val="00D93C42"/>
    <w:rsid w:val="00DA4A09"/>
    <w:rsid w:val="00DA797E"/>
    <w:rsid w:val="00DB2727"/>
    <w:rsid w:val="00DB3655"/>
    <w:rsid w:val="00DB4063"/>
    <w:rsid w:val="00DB5C61"/>
    <w:rsid w:val="00DC0424"/>
    <w:rsid w:val="00DC7F20"/>
    <w:rsid w:val="00DD6F08"/>
    <w:rsid w:val="00DE0182"/>
    <w:rsid w:val="00DE322F"/>
    <w:rsid w:val="00DE76BF"/>
    <w:rsid w:val="00DF0711"/>
    <w:rsid w:val="00DF7236"/>
    <w:rsid w:val="00E07917"/>
    <w:rsid w:val="00E16EF5"/>
    <w:rsid w:val="00E17D9D"/>
    <w:rsid w:val="00E348A8"/>
    <w:rsid w:val="00E3706E"/>
    <w:rsid w:val="00E43A68"/>
    <w:rsid w:val="00E57777"/>
    <w:rsid w:val="00E64D48"/>
    <w:rsid w:val="00E6536F"/>
    <w:rsid w:val="00E65FFF"/>
    <w:rsid w:val="00E671FB"/>
    <w:rsid w:val="00E729DA"/>
    <w:rsid w:val="00E731C5"/>
    <w:rsid w:val="00E8296C"/>
    <w:rsid w:val="00E84EAD"/>
    <w:rsid w:val="00E8660D"/>
    <w:rsid w:val="00E878FD"/>
    <w:rsid w:val="00E8796D"/>
    <w:rsid w:val="00E90D23"/>
    <w:rsid w:val="00EA078A"/>
    <w:rsid w:val="00EA2597"/>
    <w:rsid w:val="00EA4C19"/>
    <w:rsid w:val="00EA5A75"/>
    <w:rsid w:val="00EC240C"/>
    <w:rsid w:val="00ED16B8"/>
    <w:rsid w:val="00ED71E2"/>
    <w:rsid w:val="00EE1A43"/>
    <w:rsid w:val="00EE6AFB"/>
    <w:rsid w:val="00EF23AE"/>
    <w:rsid w:val="00EF5851"/>
    <w:rsid w:val="00EF6D31"/>
    <w:rsid w:val="00EF7513"/>
    <w:rsid w:val="00F02102"/>
    <w:rsid w:val="00F050F3"/>
    <w:rsid w:val="00F113FD"/>
    <w:rsid w:val="00F11EEF"/>
    <w:rsid w:val="00F131F1"/>
    <w:rsid w:val="00F21999"/>
    <w:rsid w:val="00F22009"/>
    <w:rsid w:val="00F32256"/>
    <w:rsid w:val="00F33071"/>
    <w:rsid w:val="00F411CF"/>
    <w:rsid w:val="00F44FB9"/>
    <w:rsid w:val="00F45C9A"/>
    <w:rsid w:val="00F4628F"/>
    <w:rsid w:val="00F53EAC"/>
    <w:rsid w:val="00F6179E"/>
    <w:rsid w:val="00F636A7"/>
    <w:rsid w:val="00F65937"/>
    <w:rsid w:val="00F66D4B"/>
    <w:rsid w:val="00F66DE5"/>
    <w:rsid w:val="00F750B6"/>
    <w:rsid w:val="00F778A9"/>
    <w:rsid w:val="00F80A6E"/>
    <w:rsid w:val="00F837DC"/>
    <w:rsid w:val="00F84BA8"/>
    <w:rsid w:val="00F86F32"/>
    <w:rsid w:val="00F96AB6"/>
    <w:rsid w:val="00FA1991"/>
    <w:rsid w:val="00FA71BB"/>
    <w:rsid w:val="00FB6E8D"/>
    <w:rsid w:val="00FC3A4D"/>
    <w:rsid w:val="00FD38B9"/>
    <w:rsid w:val="00FE5D86"/>
    <w:rsid w:val="00FE6541"/>
    <w:rsid w:val="00FF0519"/>
    <w:rsid w:val="00FF0FD7"/>
    <w:rsid w:val="00FF606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4CF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4331"/>
    <w:pPr>
      <w:widowControl w:val="0"/>
      <w:spacing w:after="60"/>
      <w:jc w:val="both"/>
    </w:pPr>
    <w:rPr>
      <w:rFonts w:ascii="Arial" w:eastAsia="Times New Roman" w:hAnsi="Arial"/>
      <w:sz w:val="22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690F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00">
    <w:name w:val="Titolo00"/>
    <w:basedOn w:val="Normale"/>
    <w:autoRedefine/>
    <w:rsid w:val="00274331"/>
    <w:pPr>
      <w:ind w:left="1440" w:hanging="1440"/>
    </w:pPr>
    <w:rPr>
      <w:rFonts w:ascii="Futura Bk BT" w:hAnsi="Futura Bk BT"/>
      <w:b/>
      <w:i/>
      <w:color w:val="2C5BAE"/>
      <w:sz w:val="32"/>
      <w:lang w:eastAsia="en-US"/>
    </w:rPr>
  </w:style>
  <w:style w:type="table" w:customStyle="1" w:styleId="EcoGaraOT">
    <w:name w:val="Eco_Gara_OT"/>
    <w:basedOn w:val="Tabellanormale"/>
    <w:rsid w:val="00274331"/>
    <w:rPr>
      <w:rFonts w:ascii="Times New Roman" w:eastAsia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325BA2"/>
    </w:tcPr>
  </w:style>
  <w:style w:type="paragraph" w:styleId="Elenco3">
    <w:name w:val="List 3"/>
    <w:rsid w:val="00274331"/>
    <w:pPr>
      <w:widowControl w:val="0"/>
      <w:tabs>
        <w:tab w:val="num" w:pos="794"/>
      </w:tabs>
      <w:spacing w:line="360" w:lineRule="auto"/>
      <w:ind w:left="794" w:hanging="340"/>
      <w:jc w:val="both"/>
    </w:pPr>
    <w:rPr>
      <w:rFonts w:ascii="Arial" w:eastAsia="Times New Roman" w:hAnsi="Arial" w:cs="Arial"/>
      <w:b/>
    </w:rPr>
  </w:style>
  <w:style w:type="paragraph" w:styleId="Intestazione">
    <w:name w:val="header"/>
    <w:link w:val="IntestazioneCarattere"/>
    <w:uiPriority w:val="99"/>
    <w:rsid w:val="00274331"/>
    <w:pPr>
      <w:tabs>
        <w:tab w:val="center" w:pos="4819"/>
        <w:tab w:val="right" w:pos="9638"/>
      </w:tabs>
      <w:spacing w:line="240" w:lineRule="atLeast"/>
    </w:pPr>
    <w:rPr>
      <w:rFonts w:ascii="Times New Roman" w:eastAsia="Times New Roman" w:hAnsi="Times New Roman"/>
      <w:sz w:val="22"/>
      <w:szCs w:val="24"/>
    </w:rPr>
  </w:style>
  <w:style w:type="character" w:customStyle="1" w:styleId="IntestazioneCarattere">
    <w:name w:val="Intestazione Carattere"/>
    <w:link w:val="Intestazione"/>
    <w:uiPriority w:val="99"/>
    <w:rsid w:val="00274331"/>
    <w:rPr>
      <w:rFonts w:ascii="Times New Roman" w:eastAsia="Times New Roman" w:hAnsi="Times New Roman"/>
      <w:sz w:val="22"/>
      <w:szCs w:val="24"/>
      <w:lang w:val="it-IT" w:eastAsia="it-IT" w:bidi="ar-SA"/>
    </w:rPr>
  </w:style>
  <w:style w:type="paragraph" w:styleId="Pidipagina">
    <w:name w:val="footer"/>
    <w:link w:val="PidipaginaCarattere"/>
    <w:rsid w:val="00274331"/>
    <w:pPr>
      <w:tabs>
        <w:tab w:val="center" w:pos="4819"/>
        <w:tab w:val="right" w:pos="9638"/>
      </w:tabs>
      <w:spacing w:before="60"/>
    </w:pPr>
    <w:rPr>
      <w:rFonts w:ascii="Times New Roman" w:eastAsia="Times New Roman" w:hAnsi="Times New Roman"/>
      <w:sz w:val="22"/>
      <w:szCs w:val="24"/>
    </w:rPr>
  </w:style>
  <w:style w:type="character" w:customStyle="1" w:styleId="PidipaginaCarattere">
    <w:name w:val="Piè di pagina Carattere"/>
    <w:link w:val="Pidipagina"/>
    <w:rsid w:val="00274331"/>
    <w:rPr>
      <w:rFonts w:ascii="Times New Roman" w:eastAsia="Times New Roman" w:hAnsi="Times New Roman"/>
      <w:sz w:val="22"/>
      <w:szCs w:val="24"/>
      <w:lang w:val="it-IT" w:eastAsia="it-IT" w:bidi="ar-SA"/>
    </w:rPr>
  </w:style>
  <w:style w:type="character" w:styleId="Numeropagina">
    <w:name w:val="page number"/>
    <w:basedOn w:val="Carpredefinitoparagrafo"/>
    <w:rsid w:val="00274331"/>
  </w:style>
  <w:style w:type="paragraph" w:customStyle="1" w:styleId="IndiceModuli">
    <w:name w:val="Indice Moduli"/>
    <w:basedOn w:val="Normale"/>
    <w:rsid w:val="00274331"/>
    <w:pPr>
      <w:keepNext/>
      <w:spacing w:after="0" w:line="360" w:lineRule="auto"/>
      <w:outlineLvl w:val="8"/>
    </w:pPr>
    <w:rPr>
      <w:rFonts w:cs="Arial"/>
      <w:szCs w:val="22"/>
    </w:rPr>
  </w:style>
  <w:style w:type="paragraph" w:customStyle="1" w:styleId="Titolo1">
    <w:name w:val="Titolo1"/>
    <w:link w:val="Titolo1Carattere"/>
    <w:autoRedefine/>
    <w:rsid w:val="00274331"/>
    <w:pPr>
      <w:keepNext/>
      <w:spacing w:line="360" w:lineRule="auto"/>
      <w:ind w:left="454" w:hanging="454"/>
      <w:jc w:val="both"/>
    </w:pPr>
    <w:rPr>
      <w:rFonts w:ascii="Arial" w:eastAsia="Times New Roman" w:hAnsi="Arial" w:cs="Arial"/>
      <w:b/>
    </w:rPr>
  </w:style>
  <w:style w:type="character" w:customStyle="1" w:styleId="Titolo1Carattere">
    <w:name w:val="Titolo1 Carattere"/>
    <w:link w:val="Titolo1"/>
    <w:rsid w:val="00274331"/>
    <w:rPr>
      <w:rFonts w:ascii="Arial" w:eastAsia="Times New Roman" w:hAnsi="Arial" w:cs="Arial"/>
      <w:b/>
      <w:lang w:val="it-IT" w:eastAsia="it-IT" w:bidi="ar-SA"/>
    </w:rPr>
  </w:style>
  <w:style w:type="paragraph" w:customStyle="1" w:styleId="Normale2">
    <w:name w:val="Normale2"/>
    <w:link w:val="Normale2Carattere"/>
    <w:rsid w:val="00274331"/>
    <w:pPr>
      <w:widowControl w:val="0"/>
      <w:spacing w:line="360" w:lineRule="auto"/>
      <w:ind w:left="454"/>
      <w:jc w:val="both"/>
    </w:pPr>
    <w:rPr>
      <w:rFonts w:ascii="Arial" w:eastAsia="Times New Roman" w:hAnsi="Arial" w:cs="Arial"/>
    </w:rPr>
  </w:style>
  <w:style w:type="character" w:customStyle="1" w:styleId="Normale2Carattere">
    <w:name w:val="Normale2 Carattere"/>
    <w:link w:val="Normale2"/>
    <w:rsid w:val="00274331"/>
    <w:rPr>
      <w:rFonts w:ascii="Arial" w:eastAsia="Times New Roman" w:hAnsi="Arial" w:cs="Arial"/>
      <w:lang w:val="it-IT" w:eastAsia="it-IT" w:bidi="ar-SA"/>
    </w:rPr>
  </w:style>
  <w:style w:type="paragraph" w:customStyle="1" w:styleId="IntestazioneTabella">
    <w:name w:val="Intestazione Tabella"/>
    <w:basedOn w:val="Normale"/>
    <w:rsid w:val="00274331"/>
    <w:pPr>
      <w:spacing w:before="120" w:after="120"/>
      <w:jc w:val="left"/>
    </w:pPr>
    <w:rPr>
      <w:rFonts w:cs="Arial"/>
      <w:b/>
      <w:sz w:val="16"/>
      <w:szCs w:val="16"/>
    </w:rPr>
  </w:style>
  <w:style w:type="paragraph" w:customStyle="1" w:styleId="TestoTabella">
    <w:name w:val="Testo Tabella"/>
    <w:basedOn w:val="Normale"/>
    <w:link w:val="TestoTabellaCarattere"/>
    <w:rsid w:val="00274331"/>
    <w:pPr>
      <w:spacing w:after="0"/>
    </w:pPr>
    <w:rPr>
      <w:rFonts w:cs="Arial"/>
      <w:sz w:val="16"/>
      <w:szCs w:val="16"/>
    </w:rPr>
  </w:style>
  <w:style w:type="paragraph" w:customStyle="1" w:styleId="ElencoTabella">
    <w:name w:val="Elenco Tabella"/>
    <w:rsid w:val="00274331"/>
    <w:pPr>
      <w:tabs>
        <w:tab w:val="num" w:pos="284"/>
      </w:tabs>
      <w:ind w:left="284" w:hanging="284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Titolo20">
    <w:name w:val="Titolo2"/>
    <w:basedOn w:val="Titolo1"/>
    <w:link w:val="Titolo2Carattere0"/>
    <w:rsid w:val="00274331"/>
    <w:pPr>
      <w:ind w:left="908"/>
    </w:pPr>
  </w:style>
  <w:style w:type="character" w:customStyle="1" w:styleId="Titolo2Carattere0">
    <w:name w:val="Titolo2 Carattere"/>
    <w:link w:val="Titolo20"/>
    <w:rsid w:val="00274331"/>
    <w:rPr>
      <w:rFonts w:ascii="Arial" w:eastAsia="Times New Roman" w:hAnsi="Arial" w:cs="Arial"/>
      <w:b w:val="0"/>
      <w:sz w:val="20"/>
      <w:szCs w:val="20"/>
      <w:lang w:val="it-IT" w:eastAsia="it-IT" w:bidi="ar-SA"/>
    </w:rPr>
  </w:style>
  <w:style w:type="paragraph" w:customStyle="1" w:styleId="Normale3">
    <w:name w:val="Normale3"/>
    <w:basedOn w:val="Normale2"/>
    <w:link w:val="Normale3Carattere"/>
    <w:rsid w:val="00274331"/>
    <w:pPr>
      <w:ind w:left="907"/>
    </w:pPr>
  </w:style>
  <w:style w:type="character" w:customStyle="1" w:styleId="Normale3Carattere">
    <w:name w:val="Normale3 Carattere"/>
    <w:link w:val="Normale3"/>
    <w:rsid w:val="00274331"/>
    <w:rPr>
      <w:rFonts w:ascii="Arial" w:eastAsia="Times New Roman" w:hAnsi="Arial" w:cs="Arial"/>
      <w:sz w:val="20"/>
      <w:szCs w:val="20"/>
      <w:lang w:val="it-IT" w:eastAsia="it-IT" w:bidi="ar-SA"/>
    </w:rPr>
  </w:style>
  <w:style w:type="paragraph" w:styleId="Corpotesto">
    <w:name w:val="Body Text"/>
    <w:basedOn w:val="Normale"/>
    <w:link w:val="CorpotestoCarattere"/>
    <w:rsid w:val="00274331"/>
    <w:pPr>
      <w:spacing w:after="0"/>
      <w:jc w:val="left"/>
    </w:pPr>
    <w:rPr>
      <w:sz w:val="24"/>
      <w:szCs w:val="20"/>
    </w:rPr>
  </w:style>
  <w:style w:type="character" w:customStyle="1" w:styleId="CorpotestoCarattere">
    <w:name w:val="Corpo testo Carattere"/>
    <w:link w:val="Corpotesto"/>
    <w:rsid w:val="00274331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74331"/>
    <w:pPr>
      <w:spacing w:after="0"/>
      <w:jc w:val="center"/>
    </w:pPr>
    <w:rPr>
      <w:rFonts w:ascii="Comic Sans MS" w:hAnsi="Comic Sans MS"/>
      <w:sz w:val="20"/>
      <w:szCs w:val="20"/>
    </w:rPr>
  </w:style>
  <w:style w:type="character" w:customStyle="1" w:styleId="Corpodeltesto3Carattere">
    <w:name w:val="Corpo del testo 3 Carattere"/>
    <w:link w:val="Corpodeltesto3"/>
    <w:rsid w:val="00274331"/>
    <w:rPr>
      <w:rFonts w:ascii="Comic Sans MS" w:eastAsia="Times New Roman" w:hAnsi="Comic Sans MS" w:cs="Times New Roman"/>
      <w:sz w:val="20"/>
      <w:szCs w:val="20"/>
      <w:lang w:eastAsia="it-IT"/>
    </w:rPr>
  </w:style>
  <w:style w:type="paragraph" w:customStyle="1" w:styleId="TitoloPOS">
    <w:name w:val="TitoloPOS"/>
    <w:basedOn w:val="Normale"/>
    <w:rsid w:val="00274331"/>
    <w:pPr>
      <w:keepNext/>
      <w:spacing w:after="0" w:line="360" w:lineRule="auto"/>
      <w:outlineLvl w:val="8"/>
    </w:pPr>
    <w:rPr>
      <w:rFonts w:cs="Arial"/>
      <w:color w:val="FFFFFF"/>
      <w:szCs w:val="22"/>
    </w:rPr>
  </w:style>
  <w:style w:type="paragraph" w:customStyle="1" w:styleId="Sommario1">
    <w:name w:val="Sommario1"/>
    <w:basedOn w:val="Sommario10"/>
    <w:autoRedefine/>
    <w:rsid w:val="00274331"/>
    <w:pPr>
      <w:keepNext/>
      <w:tabs>
        <w:tab w:val="right" w:leader="dot" w:pos="9628"/>
      </w:tabs>
      <w:spacing w:before="120" w:after="120"/>
      <w:ind w:left="567" w:hanging="567"/>
      <w:jc w:val="left"/>
    </w:pPr>
    <w:rPr>
      <w:rFonts w:ascii="Futura Bk BT" w:hAnsi="Futura Bk BT"/>
      <w:b/>
      <w:bCs/>
      <w:caps/>
      <w:noProof/>
      <w:szCs w:val="22"/>
    </w:rPr>
  </w:style>
  <w:style w:type="paragraph" w:customStyle="1" w:styleId="Sommario2">
    <w:name w:val="Sommario2"/>
    <w:basedOn w:val="Sommario20"/>
    <w:link w:val="Sommario2Carattere"/>
    <w:autoRedefine/>
    <w:rsid w:val="00274331"/>
    <w:pPr>
      <w:tabs>
        <w:tab w:val="right" w:leader="dot" w:pos="9629"/>
      </w:tabs>
      <w:spacing w:before="60" w:after="60"/>
      <w:ind w:left="1260" w:hanging="693"/>
      <w:jc w:val="left"/>
    </w:pPr>
    <w:rPr>
      <w:rFonts w:ascii="Futura Bk BT" w:hAnsi="Futura Bk BT"/>
      <w:noProof/>
      <w:sz w:val="20"/>
      <w:szCs w:val="20"/>
    </w:rPr>
  </w:style>
  <w:style w:type="character" w:customStyle="1" w:styleId="Sommario2Carattere">
    <w:name w:val="Sommario2 Carattere"/>
    <w:link w:val="Sommario2"/>
    <w:rsid w:val="00274331"/>
    <w:rPr>
      <w:rFonts w:ascii="Futura Bk BT" w:eastAsia="Times New Roman" w:hAnsi="Futura Bk BT" w:cs="Times New Roman"/>
      <w:noProof/>
      <w:sz w:val="20"/>
      <w:szCs w:val="20"/>
      <w:lang w:eastAsia="it-IT"/>
    </w:rPr>
  </w:style>
  <w:style w:type="character" w:customStyle="1" w:styleId="TestoTabellaCarattere">
    <w:name w:val="Testo Tabella Carattere"/>
    <w:link w:val="TestoTabella"/>
    <w:rsid w:val="00274331"/>
    <w:rPr>
      <w:rFonts w:ascii="Arial" w:eastAsia="Times New Roman" w:hAnsi="Arial" w:cs="Arial"/>
      <w:sz w:val="16"/>
      <w:szCs w:val="16"/>
      <w:lang w:eastAsia="it-IT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274331"/>
    <w:pPr>
      <w:widowControl/>
      <w:spacing w:before="120" w:after="12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Sommario10">
    <w:name w:val="toc 1"/>
    <w:basedOn w:val="Normale"/>
    <w:next w:val="Normale"/>
    <w:autoRedefine/>
    <w:uiPriority w:val="39"/>
    <w:semiHidden/>
    <w:unhideWhenUsed/>
    <w:rsid w:val="00274331"/>
    <w:pPr>
      <w:spacing w:after="100"/>
    </w:pPr>
  </w:style>
  <w:style w:type="paragraph" w:styleId="Sommario20">
    <w:name w:val="toc 2"/>
    <w:basedOn w:val="Normale"/>
    <w:next w:val="Normale"/>
    <w:autoRedefine/>
    <w:uiPriority w:val="39"/>
    <w:semiHidden/>
    <w:unhideWhenUsed/>
    <w:rsid w:val="00274331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33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433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POS0">
    <w:name w:val="Titolo POS"/>
    <w:basedOn w:val="Intestazione"/>
    <w:link w:val="TitoloPOSCarattere"/>
    <w:rsid w:val="00274331"/>
    <w:pPr>
      <w:jc w:val="center"/>
    </w:pPr>
    <w:rPr>
      <w:rFonts w:ascii="Arial" w:hAnsi="Arial"/>
      <w:b/>
    </w:rPr>
  </w:style>
  <w:style w:type="character" w:customStyle="1" w:styleId="TitoloPOSCarattere">
    <w:name w:val="Titolo POS Carattere"/>
    <w:link w:val="TitoloPOS0"/>
    <w:rsid w:val="00274331"/>
    <w:rPr>
      <w:rFonts w:ascii="Arial" w:eastAsia="Times New Roman" w:hAnsi="Arial" w:cs="Times New Roman"/>
      <w:b/>
      <w:sz w:val="22"/>
      <w:szCs w:val="24"/>
      <w:lang w:val="it-IT" w:eastAsia="it-IT" w:bidi="ar-SA"/>
    </w:rPr>
  </w:style>
  <w:style w:type="character" w:styleId="Collegamentoipertestuale">
    <w:name w:val="Hyperlink"/>
    <w:uiPriority w:val="99"/>
    <w:rsid w:val="0078205C"/>
    <w:rPr>
      <w:rFonts w:cs="Times New Roman"/>
      <w:color w:val="0000FF"/>
      <w:u w:val="single"/>
    </w:rPr>
  </w:style>
  <w:style w:type="paragraph" w:customStyle="1" w:styleId="NormaleTESTO">
    <w:name w:val="Normale.TESTO"/>
    <w:uiPriority w:val="99"/>
    <w:rsid w:val="0078205C"/>
    <w:pPr>
      <w:widowControl w:val="0"/>
      <w:spacing w:before="120"/>
      <w:jc w:val="both"/>
    </w:pPr>
    <w:rPr>
      <w:rFonts w:ascii="Courier PS" w:eastAsia="Times New Roman" w:hAnsi="Courier PS" w:cs="Courier PS"/>
      <w:sz w:val="24"/>
      <w:szCs w:val="24"/>
    </w:rPr>
  </w:style>
  <w:style w:type="character" w:styleId="Rimandonotaapidipagina">
    <w:name w:val="footnote reference"/>
    <w:aliases w:val="Footnote symbol,Nota a piè di pagina"/>
    <w:uiPriority w:val="99"/>
    <w:semiHidden/>
    <w:rsid w:val="0078205C"/>
    <w:rPr>
      <w:rFonts w:cs="Times New Roman"/>
      <w:vertAlign w:val="superscript"/>
    </w:rPr>
  </w:style>
  <w:style w:type="paragraph" w:styleId="Nessunaspaziatura">
    <w:name w:val="No Spacing"/>
    <w:uiPriority w:val="99"/>
    <w:qFormat/>
    <w:rsid w:val="0078205C"/>
    <w:rPr>
      <w:rFonts w:eastAsia="Times New Roman" w:cs="Calibri"/>
      <w:sz w:val="22"/>
      <w:szCs w:val="22"/>
    </w:rPr>
  </w:style>
  <w:style w:type="table" w:styleId="Grigliatabella">
    <w:name w:val="Table Grid"/>
    <w:basedOn w:val="Tabellanormale"/>
    <w:uiPriority w:val="59"/>
    <w:rsid w:val="00EF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44A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344A2"/>
    <w:rPr>
      <w:rFonts w:ascii="Arial" w:eastAsia="Times New Roman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B344A2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CD4D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4D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4D67"/>
    <w:rPr>
      <w:rFonts w:ascii="Arial" w:eastAsia="Times New Roman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D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D67"/>
    <w:rPr>
      <w:rFonts w:ascii="Arial" w:eastAsia="Times New Roman" w:hAnsi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690F"/>
    <w:rPr>
      <w:rFonts w:ascii="Calibri Light" w:eastAsia="Times New Roman" w:hAnsi="Calibri Light"/>
      <w:color w:val="2E74B5"/>
      <w:sz w:val="26"/>
      <w:szCs w:val="26"/>
    </w:rPr>
  </w:style>
  <w:style w:type="paragraph" w:customStyle="1" w:styleId="a5bElencopuntatolettere">
    <w:name w:val="a5b) Elenco puntato lettere"/>
    <w:basedOn w:val="Normale"/>
    <w:rsid w:val="009B690F"/>
    <w:pPr>
      <w:widowControl/>
      <w:numPr>
        <w:numId w:val="8"/>
      </w:numPr>
      <w:spacing w:after="0" w:line="360" w:lineRule="auto"/>
    </w:pPr>
    <w:rPr>
      <w:rFonts w:ascii="Tahoma" w:hAnsi="Tahoma" w:cs="Tahoma"/>
      <w:szCs w:val="22"/>
    </w:rPr>
  </w:style>
  <w:style w:type="paragraph" w:styleId="Revisione">
    <w:name w:val="Revision"/>
    <w:hidden/>
    <w:uiPriority w:val="99"/>
    <w:semiHidden/>
    <w:rsid w:val="000027AF"/>
    <w:rPr>
      <w:rFonts w:ascii="Arial" w:eastAsia="Times New Roman" w:hAnsi="Arial"/>
      <w:sz w:val="22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86480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orizzazioneterritoriale.regione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ambiente.it/pagina/criteri-vigo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B074-8B15-8345-A49F-2F4ACF69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27569</CharactersWithSpaces>
  <SharedDoc>false</SharedDoc>
  <HLinks>
    <vt:vector size="24" baseType="variant"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6488078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http://www.google.it/url?sa=i&amp;rct=j&amp;q=&amp;esrc=s&amp;source=images&amp;cd=&amp;cad=rja&amp;uact=8&amp;ved=0CAcQjRxqFQoTCJynrfOFiMkCFQo5FAodylkA1A&amp;url=http://www.sviluppoeconomico.gov.it/&amp;psig=AFQjCNGuWaxX7y7QSxLKJoGJhQWc9s_-Kw&amp;ust=1447320137756680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2020-05-14T07:16:00Z</dcterms:created>
  <dcterms:modified xsi:type="dcterms:W3CDTF">2020-06-11T07:25:00Z</dcterms:modified>
</cp:coreProperties>
</file>